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7143" w14:textId="77777777" w:rsidR="002A70CD" w:rsidRDefault="002A70CD" w:rsidP="000A75FE"/>
    <w:tbl>
      <w:tblPr>
        <w:tblStyle w:val="TableGrid"/>
        <w:tblW w:w="9805" w:type="dxa"/>
        <w:tblInd w:w="-275" w:type="dxa"/>
        <w:tblLayout w:type="fixed"/>
        <w:tblLook w:val="04A0" w:firstRow="1" w:lastRow="0" w:firstColumn="1" w:lastColumn="0" w:noHBand="0" w:noVBand="1"/>
      </w:tblPr>
      <w:tblGrid>
        <w:gridCol w:w="1705"/>
        <w:gridCol w:w="1060"/>
        <w:gridCol w:w="7040"/>
      </w:tblGrid>
      <w:tr w:rsidR="009D7718" w14:paraId="4668D677" w14:textId="77777777" w:rsidTr="00E3407E">
        <w:tc>
          <w:tcPr>
            <w:tcW w:w="1705" w:type="dxa"/>
            <w:vAlign w:val="center"/>
          </w:tcPr>
          <w:p w14:paraId="099989B5" w14:textId="77777777" w:rsidR="00D212DC" w:rsidRPr="00E3407E" w:rsidRDefault="009D7718" w:rsidP="00007A7F">
            <w:pPr>
              <w:jc w:val="center"/>
              <w:rPr>
                <w:b/>
                <w:bCs/>
                <w:color w:val="0070C0"/>
                <w:sz w:val="24"/>
                <w:szCs w:val="24"/>
              </w:rPr>
            </w:pPr>
            <w:r w:rsidRPr="00E3407E">
              <w:rPr>
                <w:b/>
                <w:bCs/>
                <w:color w:val="0070C0"/>
                <w:sz w:val="24"/>
                <w:szCs w:val="24"/>
              </w:rPr>
              <w:t xml:space="preserve">Section Title </w:t>
            </w:r>
          </w:p>
          <w:p w14:paraId="102618FA" w14:textId="72D251D0" w:rsidR="009D7718" w:rsidRPr="00E3407E" w:rsidRDefault="009D7718" w:rsidP="00007A7F">
            <w:pPr>
              <w:jc w:val="center"/>
              <w:rPr>
                <w:b/>
                <w:bCs/>
                <w:color w:val="0070C0"/>
                <w:sz w:val="24"/>
                <w:szCs w:val="24"/>
              </w:rPr>
            </w:pPr>
            <w:r w:rsidRPr="00E3407E">
              <w:rPr>
                <w:b/>
                <w:bCs/>
                <w:color w:val="0070C0"/>
                <w:sz w:val="24"/>
                <w:szCs w:val="24"/>
              </w:rPr>
              <w:t>and Link</w:t>
            </w:r>
          </w:p>
        </w:tc>
        <w:tc>
          <w:tcPr>
            <w:tcW w:w="1060" w:type="dxa"/>
            <w:vAlign w:val="center"/>
          </w:tcPr>
          <w:p w14:paraId="7E2ECE7B" w14:textId="77777777" w:rsidR="00D212DC" w:rsidRPr="00E3407E" w:rsidRDefault="009D7718" w:rsidP="00007A7F">
            <w:pPr>
              <w:jc w:val="center"/>
              <w:rPr>
                <w:b/>
                <w:bCs/>
                <w:color w:val="0070C0"/>
                <w:sz w:val="24"/>
                <w:szCs w:val="24"/>
              </w:rPr>
            </w:pPr>
            <w:r w:rsidRPr="00E3407E">
              <w:rPr>
                <w:b/>
                <w:bCs/>
                <w:color w:val="0070C0"/>
                <w:sz w:val="24"/>
                <w:szCs w:val="24"/>
              </w:rPr>
              <w:t xml:space="preserve">Page </w:t>
            </w:r>
          </w:p>
          <w:p w14:paraId="2098FB06" w14:textId="6244A304" w:rsidR="009D7718" w:rsidRPr="00E3407E" w:rsidRDefault="009D7718" w:rsidP="00007A7F">
            <w:pPr>
              <w:jc w:val="center"/>
              <w:rPr>
                <w:b/>
                <w:bCs/>
                <w:color w:val="0070C0"/>
                <w:sz w:val="24"/>
                <w:szCs w:val="24"/>
              </w:rPr>
            </w:pPr>
            <w:r w:rsidRPr="00E3407E">
              <w:rPr>
                <w:b/>
                <w:bCs/>
                <w:color w:val="0070C0"/>
                <w:sz w:val="24"/>
                <w:szCs w:val="24"/>
              </w:rPr>
              <w:t>#</w:t>
            </w:r>
          </w:p>
        </w:tc>
        <w:tc>
          <w:tcPr>
            <w:tcW w:w="7040" w:type="dxa"/>
            <w:vAlign w:val="center"/>
          </w:tcPr>
          <w:p w14:paraId="27E2E49B" w14:textId="3F1DA881" w:rsidR="009D7718" w:rsidRPr="00E3407E" w:rsidRDefault="00007A7F" w:rsidP="00007A7F">
            <w:pPr>
              <w:jc w:val="center"/>
              <w:rPr>
                <w:b/>
                <w:bCs/>
                <w:color w:val="0070C0"/>
                <w:sz w:val="24"/>
                <w:szCs w:val="24"/>
              </w:rPr>
            </w:pPr>
            <w:r w:rsidRPr="00E3407E">
              <w:rPr>
                <w:b/>
                <w:bCs/>
                <w:color w:val="0070C0"/>
                <w:sz w:val="24"/>
                <w:szCs w:val="24"/>
              </w:rPr>
              <w:t>Feedback</w:t>
            </w:r>
          </w:p>
        </w:tc>
      </w:tr>
      <w:tr w:rsidR="009F74F2" w14:paraId="170CD40E" w14:textId="77777777" w:rsidTr="00E3407E">
        <w:tc>
          <w:tcPr>
            <w:tcW w:w="9805" w:type="dxa"/>
            <w:gridSpan w:val="3"/>
            <w:shd w:val="clear" w:color="auto" w:fill="E7E6E6" w:themeFill="background2"/>
          </w:tcPr>
          <w:p w14:paraId="28DBE5D5" w14:textId="651229ED" w:rsidR="009F74F2" w:rsidRPr="00936602" w:rsidRDefault="009F74F2" w:rsidP="00E3407E">
            <w:pPr>
              <w:jc w:val="center"/>
              <w:rPr>
                <w:b/>
                <w:bCs/>
                <w:i/>
                <w:iCs/>
                <w:sz w:val="24"/>
                <w:szCs w:val="24"/>
              </w:rPr>
            </w:pPr>
            <w:r w:rsidRPr="00936602">
              <w:rPr>
                <w:b/>
                <w:bCs/>
                <w:i/>
                <w:iCs/>
                <w:sz w:val="24"/>
                <w:szCs w:val="24"/>
              </w:rPr>
              <w:t>I. Process Context and Background</w:t>
            </w:r>
          </w:p>
        </w:tc>
      </w:tr>
      <w:tr w:rsidR="009D7718" w14:paraId="5CDA94A3" w14:textId="77777777" w:rsidTr="00E3407E">
        <w:trPr>
          <w:trHeight w:val="1727"/>
        </w:trPr>
        <w:tc>
          <w:tcPr>
            <w:tcW w:w="1705" w:type="dxa"/>
          </w:tcPr>
          <w:p w14:paraId="3EF869FF" w14:textId="7D66C09A" w:rsidR="009D7718" w:rsidRDefault="00000000">
            <w:hyperlink r:id="rId10" w:anchor="page=13&amp;zoom=100,93,357" w:history="1">
              <w:r w:rsidR="00440DE8" w:rsidRPr="009F74F2">
                <w:rPr>
                  <w:rStyle w:val="Hyperlink"/>
                </w:rPr>
                <w:t xml:space="preserve">SECTION E: </w:t>
              </w:r>
              <w:r w:rsidR="009D7718" w:rsidRPr="009F74F2">
                <w:rPr>
                  <w:rStyle w:val="Hyperlink"/>
                </w:rPr>
                <w:t>History of Coffin Butte</w:t>
              </w:r>
            </w:hyperlink>
            <w:r w:rsidR="00EF7F87">
              <w:t xml:space="preserve">;  </w:t>
            </w:r>
            <w:hyperlink r:id="rId11" w:history="1">
              <w:r w:rsidR="00EF7F87" w:rsidRPr="00663015">
                <w:rPr>
                  <w:rStyle w:val="Hyperlink"/>
                </w:rPr>
                <w:t xml:space="preserve">(click here for </w:t>
              </w:r>
              <w:r w:rsidR="00D0732A">
                <w:rPr>
                  <w:rStyle w:val="Hyperlink"/>
                </w:rPr>
                <w:t xml:space="preserve">an </w:t>
              </w:r>
              <w:r w:rsidR="00EF7F87" w:rsidRPr="00663015">
                <w:rPr>
                  <w:rStyle w:val="Hyperlink"/>
                </w:rPr>
                <w:t>updated version)</w:t>
              </w:r>
            </w:hyperlink>
          </w:p>
        </w:tc>
        <w:tc>
          <w:tcPr>
            <w:tcW w:w="1060" w:type="dxa"/>
          </w:tcPr>
          <w:p w14:paraId="08C42342" w14:textId="77804808" w:rsidR="00E3407E" w:rsidRDefault="009D7718">
            <w:r>
              <w:t>PDF page</w:t>
            </w:r>
            <w:r w:rsidR="00D0732A">
              <w:t>s</w:t>
            </w:r>
            <w:r>
              <w:t xml:space="preserve"> 13-28, </w:t>
            </w:r>
          </w:p>
          <w:p w14:paraId="18ECD151" w14:textId="77777777" w:rsidR="00E3407E" w:rsidRDefault="00E3407E"/>
          <w:p w14:paraId="5B074283" w14:textId="0F5857F7" w:rsidR="00D212DC" w:rsidRDefault="009D7718" w:rsidP="00E3407E">
            <w:r>
              <w:t>Word page</w:t>
            </w:r>
            <w:r w:rsidR="00D0732A">
              <w:t>s</w:t>
            </w:r>
            <w:r>
              <w:t xml:space="preserve"> 13-30</w:t>
            </w:r>
          </w:p>
        </w:tc>
        <w:tc>
          <w:tcPr>
            <w:tcW w:w="7040" w:type="dxa"/>
          </w:tcPr>
          <w:p w14:paraId="26A2E9AF" w14:textId="4F7F3207" w:rsidR="00BF6AB0" w:rsidRDefault="00FD30A3" w:rsidP="00B26083">
            <w:pPr>
              <w:pStyle w:val="ListParagraph"/>
              <w:numPr>
                <w:ilvl w:val="0"/>
                <w:numId w:val="10"/>
              </w:numPr>
            </w:pPr>
            <w:r>
              <w:t xml:space="preserve">It has been helpful to hear the historic relationship with Coffin Butte and the community. </w:t>
            </w:r>
          </w:p>
          <w:p w14:paraId="5B96115A" w14:textId="77777777" w:rsidR="00265DD2" w:rsidRDefault="00265DD2" w:rsidP="00265DD2">
            <w:pPr>
              <w:pStyle w:val="ListParagraph"/>
              <w:numPr>
                <w:ilvl w:val="0"/>
                <w:numId w:val="10"/>
              </w:numPr>
            </w:pPr>
            <w:r>
              <w:t xml:space="preserve">F2 – clarification on what is </w:t>
            </w:r>
            <w:proofErr w:type="gramStart"/>
            <w:r>
              <w:t>recommended</w:t>
            </w:r>
            <w:proofErr w:type="gramEnd"/>
          </w:p>
          <w:p w14:paraId="440DC522" w14:textId="77777777" w:rsidR="00265DD2" w:rsidRDefault="00265DD2" w:rsidP="00265DD2">
            <w:pPr>
              <w:pStyle w:val="ListParagraph"/>
              <w:numPr>
                <w:ilvl w:val="0"/>
                <w:numId w:val="10"/>
              </w:numPr>
            </w:pPr>
            <w:r>
              <w:t xml:space="preserve">What is the scope of the phrase “character of the </w:t>
            </w:r>
            <w:proofErr w:type="gramStart"/>
            <w:r>
              <w:t>area”</w:t>
            </w:r>
            <w:proofErr w:type="gramEnd"/>
          </w:p>
          <w:p w14:paraId="2E2D3A80" w14:textId="77777777" w:rsidR="00265DD2" w:rsidRDefault="00265DD2" w:rsidP="00265DD2">
            <w:pPr>
              <w:pStyle w:val="ListParagraph"/>
              <w:numPr>
                <w:ilvl w:val="0"/>
                <w:numId w:val="10"/>
              </w:numPr>
            </w:pPr>
            <w:r>
              <w:t>Creating a condition of approval to address the process where DEQ only reviews the application once it is approved by the planning commission.  Condition can be “approval by DEQ”.</w:t>
            </w:r>
          </w:p>
          <w:p w14:paraId="408F847D" w14:textId="45F048FF" w:rsidR="00743B0E" w:rsidRPr="00FD30A3" w:rsidRDefault="00743B0E" w:rsidP="00743B0E">
            <w:pPr>
              <w:pStyle w:val="ListParagraph"/>
            </w:pPr>
          </w:p>
        </w:tc>
      </w:tr>
      <w:tr w:rsidR="009F74F2" w14:paraId="1376FC0A" w14:textId="77777777" w:rsidTr="00E3407E">
        <w:tc>
          <w:tcPr>
            <w:tcW w:w="9805" w:type="dxa"/>
            <w:gridSpan w:val="3"/>
            <w:shd w:val="clear" w:color="auto" w:fill="E7E6E6" w:themeFill="background2"/>
          </w:tcPr>
          <w:p w14:paraId="76BB88AB" w14:textId="39F0D577" w:rsidR="009F74F2" w:rsidRPr="00936602" w:rsidRDefault="009F74F2" w:rsidP="00E3407E">
            <w:pPr>
              <w:jc w:val="center"/>
              <w:rPr>
                <w:b/>
                <w:bCs/>
                <w:i/>
                <w:iCs/>
                <w:sz w:val="24"/>
                <w:szCs w:val="24"/>
              </w:rPr>
            </w:pPr>
            <w:r w:rsidRPr="00936602">
              <w:rPr>
                <w:b/>
                <w:bCs/>
                <w:i/>
                <w:iCs/>
                <w:sz w:val="24"/>
                <w:szCs w:val="24"/>
              </w:rPr>
              <w:t>IV. Key Workgroup Findings &amp; Recommendations</w:t>
            </w:r>
          </w:p>
        </w:tc>
      </w:tr>
      <w:tr w:rsidR="009D7718" w14:paraId="28FDD726" w14:textId="77777777" w:rsidTr="00E3407E">
        <w:trPr>
          <w:trHeight w:val="1970"/>
        </w:trPr>
        <w:tc>
          <w:tcPr>
            <w:tcW w:w="1705" w:type="dxa"/>
          </w:tcPr>
          <w:p w14:paraId="56AFBF1C" w14:textId="42AD2D91" w:rsidR="009D7718" w:rsidRDefault="00000000" w:rsidP="003431F9">
            <w:hyperlink r:id="rId12" w:anchor="page=37" w:history="1">
              <w:r w:rsidR="009D7718" w:rsidRPr="00273116">
                <w:rPr>
                  <w:rStyle w:val="Hyperlink"/>
                </w:rPr>
                <w:t>SECTION A: Legal issues &amp; Land Use Review</w:t>
              </w:r>
            </w:hyperlink>
          </w:p>
        </w:tc>
        <w:tc>
          <w:tcPr>
            <w:tcW w:w="1060" w:type="dxa"/>
          </w:tcPr>
          <w:p w14:paraId="7B78381A" w14:textId="4B33585A" w:rsidR="00E3407E" w:rsidRDefault="009D7718">
            <w:r>
              <w:t>PDF page</w:t>
            </w:r>
            <w:r w:rsidR="00D0732A">
              <w:t>s</w:t>
            </w:r>
            <w:r>
              <w:t xml:space="preserve"> 37-43, </w:t>
            </w:r>
          </w:p>
          <w:p w14:paraId="4BD0A9D8" w14:textId="77777777" w:rsidR="00027E2A" w:rsidRDefault="00027E2A"/>
          <w:p w14:paraId="2F4366D8" w14:textId="0BD14253" w:rsidR="009D7718" w:rsidRDefault="009D7718">
            <w:r>
              <w:t>Word page</w:t>
            </w:r>
            <w:r w:rsidR="00D0732A">
              <w:t>s</w:t>
            </w:r>
            <w:r>
              <w:t xml:space="preserve"> 39-45</w:t>
            </w:r>
          </w:p>
        </w:tc>
        <w:tc>
          <w:tcPr>
            <w:tcW w:w="7040" w:type="dxa"/>
          </w:tcPr>
          <w:p w14:paraId="1DF57E3A" w14:textId="77777777" w:rsidR="00551A18" w:rsidRDefault="00551A18" w:rsidP="00551A18">
            <w:pPr>
              <w:pStyle w:val="ListParagraph"/>
              <w:numPr>
                <w:ilvl w:val="0"/>
                <w:numId w:val="6"/>
              </w:numPr>
            </w:pPr>
            <w:r>
              <w:t>Page 43, table 2 – If/when the county receives another application for the landfill expansion – can it require things like groundwater, noise, odor, wetland restrictions?</w:t>
            </w:r>
          </w:p>
          <w:p w14:paraId="4D5CE8EA" w14:textId="43EF8D2C" w:rsidR="00551A18" w:rsidRDefault="00551A18" w:rsidP="00551A18">
            <w:pPr>
              <w:pStyle w:val="ListParagraph"/>
              <w:numPr>
                <w:ilvl w:val="0"/>
                <w:numId w:val="6"/>
              </w:numPr>
            </w:pPr>
            <w:r>
              <w:t xml:space="preserve">Clarification on the role of SWAC in the </w:t>
            </w:r>
            <w:r w:rsidR="005524D5">
              <w:t xml:space="preserve">BCTT </w:t>
            </w:r>
            <w:r>
              <w:t>report process.  SWAC will not make a recommendation to the Planning Commission, but directly to the Board of Commissioners</w:t>
            </w:r>
          </w:p>
          <w:p w14:paraId="3495CC0C" w14:textId="77777777" w:rsidR="00551A18" w:rsidRDefault="00551A18" w:rsidP="00551A18">
            <w:pPr>
              <w:pStyle w:val="ListParagraph"/>
              <w:numPr>
                <w:ilvl w:val="0"/>
                <w:numId w:val="6"/>
              </w:numPr>
            </w:pPr>
            <w:r>
              <w:t>Is the BCTT report going to recommend amending the Development Code to clarify the ambiguous terms in BCC 53.215 (Conditional Use Criteria).</w:t>
            </w:r>
          </w:p>
          <w:p w14:paraId="0D964902" w14:textId="77777777" w:rsidR="00551A18" w:rsidRDefault="00551A18" w:rsidP="00551A18">
            <w:pPr>
              <w:pStyle w:val="ListParagraph"/>
              <w:numPr>
                <w:ilvl w:val="0"/>
                <w:numId w:val="6"/>
              </w:numPr>
              <w:rPr>
                <w:rFonts w:cstheme="minorHAnsi"/>
                <w:bCs/>
              </w:rPr>
            </w:pPr>
            <w:r>
              <w:rPr>
                <w:rFonts w:cstheme="minorHAnsi"/>
                <w:bCs/>
              </w:rPr>
              <w:t>Can compliance or lack of compliance with the conditions of a previous land use decision be part of the review of a new CUP application?</w:t>
            </w:r>
          </w:p>
          <w:p w14:paraId="597B94C9" w14:textId="77777777" w:rsidR="00551A18" w:rsidRDefault="00551A18" w:rsidP="00551A18">
            <w:pPr>
              <w:pStyle w:val="ListParagraph"/>
              <w:numPr>
                <w:ilvl w:val="0"/>
                <w:numId w:val="6"/>
              </w:numPr>
              <w:rPr>
                <w:rFonts w:cstheme="minorHAnsi"/>
                <w:bCs/>
              </w:rPr>
            </w:pPr>
            <w:r>
              <w:rPr>
                <w:rFonts w:cstheme="minorHAnsi"/>
                <w:bCs/>
              </w:rPr>
              <w:t xml:space="preserve">If a CUP application is submitted and comes before the Planning Commission for approval, the commissioners can add a condition of approval that it is approved once all DEQ requirements have been approved.  DEQ does not review the application and discuss their conditions until the Planning Commissioners have made their decision.  However, what </w:t>
            </w:r>
            <w:r w:rsidRPr="00453797">
              <w:rPr>
                <w:rFonts w:cstheme="minorHAnsi"/>
                <w:position w:val="2"/>
                <w:szCs w:val="24"/>
              </w:rPr>
              <w:t xml:space="preserve">if the </w:t>
            </w:r>
            <w:r>
              <w:rPr>
                <w:rFonts w:cstheme="minorHAnsi"/>
                <w:position w:val="2"/>
                <w:szCs w:val="24"/>
              </w:rPr>
              <w:t>Planning Commission</w:t>
            </w:r>
            <w:r w:rsidRPr="00453797">
              <w:rPr>
                <w:rFonts w:cstheme="minorHAnsi"/>
                <w:position w:val="2"/>
                <w:szCs w:val="24"/>
              </w:rPr>
              <w:t xml:space="preserve"> determines that DEQ regulation of a particular parameter is inadequate or likely to be inadequate?</w:t>
            </w:r>
          </w:p>
          <w:p w14:paraId="7507D2A9" w14:textId="77777777" w:rsidR="00551A18" w:rsidRDefault="00551A18" w:rsidP="00551A18">
            <w:pPr>
              <w:pStyle w:val="ListParagraph"/>
              <w:numPr>
                <w:ilvl w:val="0"/>
                <w:numId w:val="6"/>
              </w:numPr>
              <w:rPr>
                <w:rFonts w:cstheme="minorHAnsi"/>
                <w:bCs/>
              </w:rPr>
            </w:pPr>
            <w:r>
              <w:rPr>
                <w:rFonts w:cstheme="minorHAnsi"/>
                <w:bCs/>
              </w:rPr>
              <w:t>“Light pollution” is referred to in the conditions but not included in Table 2 on page 43.</w:t>
            </w:r>
          </w:p>
          <w:p w14:paraId="47CD45DC" w14:textId="5419BC12" w:rsidR="00551A18" w:rsidRPr="00551A18" w:rsidRDefault="00551A18" w:rsidP="00E0682F">
            <w:pPr>
              <w:pStyle w:val="ListParagraph"/>
              <w:rPr>
                <w:rFonts w:cstheme="minorHAnsi"/>
                <w:bCs/>
              </w:rPr>
            </w:pPr>
          </w:p>
        </w:tc>
      </w:tr>
      <w:tr w:rsidR="009D7718" w14:paraId="3C547EB4" w14:textId="77777777" w:rsidTr="00E0682F">
        <w:trPr>
          <w:trHeight w:val="323"/>
        </w:trPr>
        <w:tc>
          <w:tcPr>
            <w:tcW w:w="1705" w:type="dxa"/>
          </w:tcPr>
          <w:p w14:paraId="2D33988F" w14:textId="3EB03C09" w:rsidR="009D7718" w:rsidRDefault="00000000" w:rsidP="003431F9">
            <w:hyperlink r:id="rId13" w:anchor="page=44" w:history="1">
              <w:r w:rsidR="009D7718" w:rsidRPr="00273116">
                <w:rPr>
                  <w:rStyle w:val="Hyperlink"/>
                </w:rPr>
                <w:t>SECTION B: Past Land Use Application Conditions</w:t>
              </w:r>
            </w:hyperlink>
          </w:p>
        </w:tc>
        <w:tc>
          <w:tcPr>
            <w:tcW w:w="1060" w:type="dxa"/>
          </w:tcPr>
          <w:p w14:paraId="6CC39DE5" w14:textId="69F7BFC4" w:rsidR="00E3407E" w:rsidRDefault="009D7718">
            <w:r>
              <w:t>PDF page</w:t>
            </w:r>
            <w:r w:rsidR="00D0732A">
              <w:t>s</w:t>
            </w:r>
            <w:r>
              <w:t xml:space="preserve"> 44-51, </w:t>
            </w:r>
          </w:p>
          <w:p w14:paraId="7222A545" w14:textId="77777777" w:rsidR="00E3407E" w:rsidRDefault="00E3407E"/>
          <w:p w14:paraId="2F7071EE" w14:textId="6084AABA" w:rsidR="009D7718" w:rsidRDefault="009D7718">
            <w:r>
              <w:t>Word page</w:t>
            </w:r>
            <w:r w:rsidR="00D0732A">
              <w:t>s</w:t>
            </w:r>
            <w:r>
              <w:t xml:space="preserve"> 46-53</w:t>
            </w:r>
          </w:p>
        </w:tc>
        <w:tc>
          <w:tcPr>
            <w:tcW w:w="7040" w:type="dxa"/>
          </w:tcPr>
          <w:p w14:paraId="5C5F9C7F" w14:textId="77777777" w:rsidR="00FD30A3" w:rsidRDefault="00FD30A3" w:rsidP="00031CA6">
            <w:r>
              <w:t xml:space="preserve">Commissioner Biscoe stated that once the BCTT report is finalized, it will be a helpful historical document for the county moving forward.  She serves on this subcommittee and </w:t>
            </w:r>
            <w:r w:rsidR="0039375B">
              <w:t>reports</w:t>
            </w:r>
            <w:r>
              <w:t xml:space="preserve"> that there is still discussion and effort to come to an agreement on the MOU between Republic Services and Benton County. </w:t>
            </w:r>
          </w:p>
          <w:p w14:paraId="05819337" w14:textId="77777777" w:rsidR="005524D5" w:rsidRDefault="005524D5" w:rsidP="005524D5">
            <w:pPr>
              <w:pStyle w:val="ListParagraph"/>
              <w:numPr>
                <w:ilvl w:val="0"/>
                <w:numId w:val="6"/>
              </w:numPr>
              <w:rPr>
                <w:rFonts w:cstheme="minorHAnsi"/>
                <w:bCs/>
              </w:rPr>
            </w:pPr>
            <w:r>
              <w:rPr>
                <w:rFonts w:cstheme="minorHAnsi"/>
                <w:bCs/>
              </w:rPr>
              <w:t>Page 44: The conditions regarding past land use applications has language that needs to be reviewed and edited.</w:t>
            </w:r>
            <w:r w:rsidRPr="00F87521">
              <w:rPr>
                <w:rFonts w:cstheme="minorHAnsi"/>
                <w:bCs/>
              </w:rPr>
              <w:t xml:space="preserve"> </w:t>
            </w:r>
          </w:p>
          <w:p w14:paraId="56F95456" w14:textId="77777777" w:rsidR="005524D5" w:rsidRDefault="005524D5" w:rsidP="005524D5">
            <w:pPr>
              <w:pStyle w:val="ListParagraph"/>
              <w:numPr>
                <w:ilvl w:val="0"/>
                <w:numId w:val="6"/>
              </w:numPr>
              <w:rPr>
                <w:rFonts w:cstheme="minorHAnsi"/>
                <w:bCs/>
              </w:rPr>
            </w:pPr>
            <w:r>
              <w:rPr>
                <w:rFonts w:cstheme="minorHAnsi"/>
                <w:bCs/>
              </w:rPr>
              <w:t>To add “none” to the list of clarifications</w:t>
            </w:r>
          </w:p>
          <w:p w14:paraId="07CF71FC" w14:textId="5C692FFF" w:rsidR="005524D5" w:rsidRPr="00FD30A3" w:rsidRDefault="005524D5" w:rsidP="00E0682F">
            <w:pPr>
              <w:pStyle w:val="ListParagraph"/>
              <w:numPr>
                <w:ilvl w:val="0"/>
                <w:numId w:val="6"/>
              </w:numPr>
            </w:pPr>
            <w:r>
              <w:rPr>
                <w:rFonts w:cstheme="minorHAnsi"/>
                <w:bCs/>
              </w:rPr>
              <w:lastRenderedPageBreak/>
              <w:t>Small edit to a word on page 50: “tracks” instead of “track”.</w:t>
            </w:r>
          </w:p>
        </w:tc>
      </w:tr>
      <w:tr w:rsidR="009D7718" w14:paraId="1F96C666" w14:textId="77777777" w:rsidTr="00E3407E">
        <w:trPr>
          <w:trHeight w:val="1790"/>
        </w:trPr>
        <w:tc>
          <w:tcPr>
            <w:tcW w:w="1705" w:type="dxa"/>
          </w:tcPr>
          <w:p w14:paraId="108D9509" w14:textId="048344BB" w:rsidR="009D7718" w:rsidRDefault="00000000" w:rsidP="003431F9">
            <w:hyperlink r:id="rId14" w:anchor="page=52" w:history="1">
              <w:r w:rsidR="009D7718" w:rsidRPr="00824AE2">
                <w:rPr>
                  <w:rStyle w:val="Hyperlink"/>
                </w:rPr>
                <w:t>SECTION C: Landfill Size/Capacity/Longevity</w:t>
              </w:r>
            </w:hyperlink>
          </w:p>
        </w:tc>
        <w:tc>
          <w:tcPr>
            <w:tcW w:w="1060" w:type="dxa"/>
          </w:tcPr>
          <w:p w14:paraId="338F0743" w14:textId="692C3376" w:rsidR="00E3407E" w:rsidRDefault="009D7718">
            <w:r>
              <w:t xml:space="preserve">PDF </w:t>
            </w:r>
            <w:r w:rsidR="00D0732A">
              <w:t>pages</w:t>
            </w:r>
            <w:r>
              <w:t xml:space="preserve"> 52-56, </w:t>
            </w:r>
          </w:p>
          <w:p w14:paraId="24552DA7" w14:textId="77777777" w:rsidR="00E3407E" w:rsidRDefault="00E3407E"/>
          <w:p w14:paraId="229B455A" w14:textId="44FA8796" w:rsidR="009D7718" w:rsidRDefault="009D7718">
            <w:r>
              <w:t xml:space="preserve">Word </w:t>
            </w:r>
            <w:r w:rsidR="00D0732A">
              <w:t>pages</w:t>
            </w:r>
            <w:r>
              <w:t xml:space="preserve"> 54-58</w:t>
            </w:r>
          </w:p>
        </w:tc>
        <w:tc>
          <w:tcPr>
            <w:tcW w:w="7040" w:type="dxa"/>
          </w:tcPr>
          <w:p w14:paraId="0D9067C2" w14:textId="25926AEF" w:rsidR="00551A18" w:rsidRDefault="00551A18" w:rsidP="00551A18">
            <w:pPr>
              <w:pStyle w:val="ListParagraph"/>
              <w:numPr>
                <w:ilvl w:val="0"/>
                <w:numId w:val="9"/>
              </w:numPr>
              <w:rPr>
                <w:rStyle w:val="Hyperlink"/>
                <w:rFonts w:cstheme="minorHAnsi"/>
                <w:bCs/>
                <w:color w:val="auto"/>
                <w:u w:val="none"/>
              </w:rPr>
            </w:pPr>
            <w:r>
              <w:rPr>
                <w:rStyle w:val="Hyperlink"/>
                <w:rFonts w:cstheme="minorHAnsi"/>
                <w:bCs/>
                <w:color w:val="auto"/>
                <w:u w:val="none"/>
              </w:rPr>
              <w:t>The need for clearer definition of terms in the franchise agreement (</w:t>
            </w:r>
            <w:proofErr w:type="gramStart"/>
            <w:r>
              <w:rPr>
                <w:rStyle w:val="Hyperlink"/>
                <w:rFonts w:cstheme="minorHAnsi"/>
                <w:bCs/>
                <w:color w:val="auto"/>
                <w:u w:val="none"/>
              </w:rPr>
              <w:t>i.e.</w:t>
            </w:r>
            <w:proofErr w:type="gramEnd"/>
            <w:r>
              <w:rPr>
                <w:rStyle w:val="Hyperlink"/>
                <w:rFonts w:cstheme="minorHAnsi"/>
                <w:bCs/>
                <w:color w:val="auto"/>
                <w:u w:val="none"/>
              </w:rPr>
              <w:t xml:space="preserve"> “CUP”)</w:t>
            </w:r>
          </w:p>
          <w:p w14:paraId="1C845E0A" w14:textId="5E5F6AC8" w:rsidR="00551A18" w:rsidRPr="00551A18" w:rsidRDefault="00551A18" w:rsidP="00551A18">
            <w:pPr>
              <w:pStyle w:val="ListParagraph"/>
              <w:numPr>
                <w:ilvl w:val="0"/>
                <w:numId w:val="9"/>
              </w:numPr>
              <w:rPr>
                <w:rStyle w:val="Hyperlink"/>
                <w:rFonts w:cstheme="minorHAnsi"/>
                <w:bCs/>
                <w:color w:val="auto"/>
                <w:u w:val="none"/>
              </w:rPr>
            </w:pPr>
            <w:r w:rsidRPr="00551A18">
              <w:rPr>
                <w:rStyle w:val="Hyperlink"/>
                <w:rFonts w:cstheme="minorHAnsi"/>
                <w:bCs/>
                <w:color w:val="auto"/>
                <w:u w:val="none"/>
              </w:rPr>
              <w:t>The 2000 and 2020 Franchise agreements do not have interpretation of terms and their meaning.  (Such as limits vs threshold, limit on solid waste vs tonnage cap.)</w:t>
            </w:r>
          </w:p>
          <w:p w14:paraId="1D1868D9" w14:textId="77777777" w:rsidR="00551A18" w:rsidRPr="00551A18" w:rsidRDefault="00551A18" w:rsidP="00551A18">
            <w:pPr>
              <w:pStyle w:val="ListParagraph"/>
              <w:numPr>
                <w:ilvl w:val="0"/>
                <w:numId w:val="8"/>
              </w:numPr>
              <w:rPr>
                <w:rStyle w:val="Hyperlink"/>
                <w:rFonts w:cstheme="minorHAnsi"/>
                <w:bCs/>
                <w:color w:val="auto"/>
                <w:u w:val="none"/>
              </w:rPr>
            </w:pPr>
            <w:r w:rsidRPr="00551A18">
              <w:rPr>
                <w:rStyle w:val="Hyperlink"/>
                <w:rFonts w:cstheme="minorHAnsi"/>
                <w:bCs/>
                <w:color w:val="auto"/>
                <w:u w:val="none"/>
              </w:rPr>
              <w:t>Clarification that the existing quarry will be reduced and filled.</w:t>
            </w:r>
          </w:p>
          <w:p w14:paraId="4C7AFDAF" w14:textId="77777777" w:rsidR="00551A18" w:rsidRPr="00551A18" w:rsidRDefault="00551A18" w:rsidP="00551A18">
            <w:pPr>
              <w:pStyle w:val="ListParagraph"/>
              <w:numPr>
                <w:ilvl w:val="0"/>
                <w:numId w:val="8"/>
              </w:numPr>
              <w:rPr>
                <w:rStyle w:val="Hyperlink"/>
                <w:rFonts w:cstheme="minorHAnsi"/>
                <w:bCs/>
                <w:color w:val="auto"/>
                <w:u w:val="none"/>
              </w:rPr>
            </w:pPr>
            <w:r w:rsidRPr="00551A18">
              <w:rPr>
                <w:rStyle w:val="Hyperlink"/>
                <w:rFonts w:cstheme="minorHAnsi"/>
                <w:bCs/>
                <w:color w:val="auto"/>
                <w:u w:val="none"/>
              </w:rPr>
              <w:t>Benton County does not have jurisdiction over the landfill intake (other counties contributing by sending waste to Coffin Butte)</w:t>
            </w:r>
          </w:p>
          <w:p w14:paraId="39C04152" w14:textId="68241D98" w:rsidR="00551A18" w:rsidRPr="00551A18" w:rsidRDefault="00551A18" w:rsidP="00551A18">
            <w:pPr>
              <w:pStyle w:val="ListParagraph"/>
            </w:pPr>
          </w:p>
        </w:tc>
      </w:tr>
      <w:tr w:rsidR="009D7718" w14:paraId="5E7E7492" w14:textId="77777777" w:rsidTr="00E3407E">
        <w:trPr>
          <w:trHeight w:val="2060"/>
        </w:trPr>
        <w:tc>
          <w:tcPr>
            <w:tcW w:w="1705" w:type="dxa"/>
          </w:tcPr>
          <w:p w14:paraId="6E6FE20D" w14:textId="35B426A7" w:rsidR="009D7718" w:rsidRDefault="00000000" w:rsidP="003431F9">
            <w:hyperlink r:id="rId15" w:anchor="page=57" w:history="1">
              <w:r w:rsidR="009D7718" w:rsidRPr="00017DF9">
                <w:rPr>
                  <w:rStyle w:val="Hyperlink"/>
                </w:rPr>
                <w:t>SECTION D: Sustainable Materials Management Plan (SMMP)</w:t>
              </w:r>
            </w:hyperlink>
          </w:p>
        </w:tc>
        <w:tc>
          <w:tcPr>
            <w:tcW w:w="1060" w:type="dxa"/>
          </w:tcPr>
          <w:p w14:paraId="108D00CF" w14:textId="6485AE65" w:rsidR="00E3407E" w:rsidRDefault="009D7718">
            <w:r>
              <w:t xml:space="preserve">PDF </w:t>
            </w:r>
            <w:r w:rsidR="00D0732A">
              <w:t>pages</w:t>
            </w:r>
            <w:r>
              <w:t xml:space="preserve"> 57-61, </w:t>
            </w:r>
          </w:p>
          <w:p w14:paraId="12DEEA8D" w14:textId="77777777" w:rsidR="00E3407E" w:rsidRDefault="00E3407E"/>
          <w:p w14:paraId="554006EE" w14:textId="75EA2485" w:rsidR="009D7718" w:rsidRDefault="009D7718">
            <w:r>
              <w:t>Word page</w:t>
            </w:r>
            <w:r w:rsidR="00D0732A">
              <w:t>s</w:t>
            </w:r>
            <w:r>
              <w:t xml:space="preserve"> 59-63</w:t>
            </w:r>
          </w:p>
        </w:tc>
        <w:tc>
          <w:tcPr>
            <w:tcW w:w="7040" w:type="dxa"/>
          </w:tcPr>
          <w:p w14:paraId="6FB8B8C3" w14:textId="68992090" w:rsidR="0039375B" w:rsidRDefault="0039375B" w:rsidP="00FD30A3">
            <w:pPr>
              <w:pStyle w:val="ListParagraph"/>
              <w:numPr>
                <w:ilvl w:val="0"/>
                <w:numId w:val="5"/>
              </w:numPr>
            </w:pPr>
            <w:r>
              <w:t>How will the SMMP impact waste outside of Benton County (other counties contributing to the landfill)</w:t>
            </w:r>
          </w:p>
          <w:p w14:paraId="513CE2B4" w14:textId="77777777" w:rsidR="0039375B" w:rsidRDefault="0039375B" w:rsidP="0039375B">
            <w:pPr>
              <w:pStyle w:val="ListParagraph"/>
              <w:numPr>
                <w:ilvl w:val="0"/>
                <w:numId w:val="5"/>
              </w:numPr>
            </w:pPr>
            <w:r>
              <w:t>Suggestions:</w:t>
            </w:r>
          </w:p>
          <w:p w14:paraId="70F7EE5A" w14:textId="67C6CB56" w:rsidR="0039375B" w:rsidRDefault="0039375B" w:rsidP="0039375B">
            <w:pPr>
              <w:pStyle w:val="ListParagraph"/>
              <w:numPr>
                <w:ilvl w:val="1"/>
                <w:numId w:val="5"/>
              </w:numPr>
            </w:pPr>
            <w:r>
              <w:t>Encourage Republic Services to implement the SMMP with other counties.</w:t>
            </w:r>
          </w:p>
          <w:p w14:paraId="566D432A" w14:textId="77777777" w:rsidR="0039375B" w:rsidRDefault="0039375B" w:rsidP="0039375B">
            <w:pPr>
              <w:pStyle w:val="ListParagraph"/>
              <w:numPr>
                <w:ilvl w:val="1"/>
                <w:numId w:val="5"/>
              </w:numPr>
            </w:pPr>
            <w:r>
              <w:t>E</w:t>
            </w:r>
            <w:r w:rsidR="00FD30A3">
              <w:t xml:space="preserve">ncourage the workgroup to use the JSIP as a model of best practices when engaging with the community on the SMMP.  </w:t>
            </w:r>
          </w:p>
          <w:p w14:paraId="0761CF5C" w14:textId="77777777" w:rsidR="0039375B" w:rsidRDefault="00FD30A3" w:rsidP="0039375B">
            <w:pPr>
              <w:pStyle w:val="ListParagraph"/>
              <w:numPr>
                <w:ilvl w:val="1"/>
                <w:numId w:val="5"/>
              </w:numPr>
            </w:pPr>
            <w:r>
              <w:t>Reach out to neighboring counties (that contribute to the landfill) for feedback.</w:t>
            </w:r>
          </w:p>
          <w:p w14:paraId="051524B0" w14:textId="0222AD5F" w:rsidR="00FD30A3" w:rsidRDefault="00FD30A3" w:rsidP="0039375B">
            <w:pPr>
              <w:pStyle w:val="ListParagraph"/>
              <w:numPr>
                <w:ilvl w:val="1"/>
                <w:numId w:val="5"/>
              </w:numPr>
            </w:pPr>
            <w:r>
              <w:t>Incorporate the trucking and travel routes that will be impacted by the SMMP in the communication strategy.</w:t>
            </w:r>
          </w:p>
          <w:p w14:paraId="7EFA4E36" w14:textId="4400BB97" w:rsidR="0039375B" w:rsidRPr="0039375B" w:rsidRDefault="0039375B" w:rsidP="00FD30A3">
            <w:pPr>
              <w:pStyle w:val="ListParagraph"/>
              <w:numPr>
                <w:ilvl w:val="0"/>
                <w:numId w:val="5"/>
              </w:numPr>
            </w:pPr>
            <w:r w:rsidRPr="0039375B">
              <w:rPr>
                <w:rStyle w:val="Hyperlink"/>
                <w:rFonts w:cstheme="minorHAnsi"/>
                <w:bCs/>
                <w:color w:val="auto"/>
                <w:u w:val="none"/>
              </w:rPr>
              <w:t>The BCTT seems to be addressing two very different topics:  sustainable materials management (how to reduce the environmental impact of the products/materials we use) and Coffin Butte Landfill (reducing its impacts).  This could confuse the public.</w:t>
            </w:r>
          </w:p>
          <w:p w14:paraId="1456BC32" w14:textId="0851239A" w:rsidR="00FD30A3" w:rsidRDefault="00FD30A3" w:rsidP="00FD30A3">
            <w:pPr>
              <w:pStyle w:val="ListParagraph"/>
            </w:pPr>
          </w:p>
        </w:tc>
      </w:tr>
      <w:tr w:rsidR="009D7718" w14:paraId="6EA011F0" w14:textId="77777777" w:rsidTr="00E3407E">
        <w:trPr>
          <w:trHeight w:val="1970"/>
        </w:trPr>
        <w:tc>
          <w:tcPr>
            <w:tcW w:w="1705" w:type="dxa"/>
          </w:tcPr>
          <w:p w14:paraId="344AFDE6" w14:textId="7827C087" w:rsidR="009D7718" w:rsidRDefault="00000000" w:rsidP="003431F9">
            <w:hyperlink r:id="rId16" w:anchor="page=62" w:history="1">
              <w:r w:rsidR="009D7718" w:rsidRPr="00E75DF0">
                <w:rPr>
                  <w:rStyle w:val="Hyperlink"/>
                </w:rPr>
                <w:t>SECTION E: Community Education &amp; Outreach</w:t>
              </w:r>
            </w:hyperlink>
          </w:p>
        </w:tc>
        <w:tc>
          <w:tcPr>
            <w:tcW w:w="1060" w:type="dxa"/>
          </w:tcPr>
          <w:p w14:paraId="785D83EB" w14:textId="3287EF43" w:rsidR="00E3407E" w:rsidRDefault="009D7718">
            <w:r>
              <w:t>PDF page</w:t>
            </w:r>
            <w:r w:rsidR="00D0732A">
              <w:t>s</w:t>
            </w:r>
            <w:r>
              <w:t xml:space="preserve"> 62-67, </w:t>
            </w:r>
          </w:p>
          <w:p w14:paraId="68A0D56D" w14:textId="77777777" w:rsidR="00E3407E" w:rsidRDefault="00E3407E"/>
          <w:p w14:paraId="3BFB39DF" w14:textId="23F2BB60" w:rsidR="009D7718" w:rsidRDefault="009D7718">
            <w:r>
              <w:t>Word page</w:t>
            </w:r>
            <w:r w:rsidR="00D0732A">
              <w:t>s</w:t>
            </w:r>
            <w:r>
              <w:t xml:space="preserve"> 64-69</w:t>
            </w:r>
          </w:p>
        </w:tc>
        <w:tc>
          <w:tcPr>
            <w:tcW w:w="7040" w:type="dxa"/>
          </w:tcPr>
          <w:p w14:paraId="75900194" w14:textId="45BFD081" w:rsidR="00FD30A3" w:rsidRDefault="00FD30A3" w:rsidP="00FD30A3">
            <w:pPr>
              <w:pStyle w:val="ListParagraph"/>
              <w:numPr>
                <w:ilvl w:val="0"/>
                <w:numId w:val="5"/>
              </w:numPr>
            </w:pPr>
            <w:r>
              <w:t xml:space="preserve">Ensure that monitoring and compliance is </w:t>
            </w:r>
            <w:proofErr w:type="gramStart"/>
            <w:r>
              <w:t>communicated</w:t>
            </w:r>
            <w:proofErr w:type="gramEnd"/>
          </w:p>
          <w:p w14:paraId="5C812EB7" w14:textId="60DFBE21" w:rsidR="00FD30A3" w:rsidRPr="00551A18" w:rsidRDefault="00FD30A3" w:rsidP="00031CA6">
            <w:pPr>
              <w:pStyle w:val="ListParagraph"/>
              <w:numPr>
                <w:ilvl w:val="0"/>
                <w:numId w:val="5"/>
              </w:numPr>
            </w:pPr>
            <w:r>
              <w:t>Page 11 (LLU7-5) – “prior decisions” suggests the possibility that Benton County isn’t always in compliance with commitments to monitor the landfill.  Does the Planning Commission have the ability to add to the conditions of approval during an application to address this issue?</w:t>
            </w:r>
          </w:p>
          <w:p w14:paraId="2FE7E745" w14:textId="64C7B53F" w:rsidR="00FD30A3" w:rsidRPr="00FD30A3" w:rsidRDefault="00FD30A3" w:rsidP="00031CA6"/>
        </w:tc>
      </w:tr>
      <w:tr w:rsidR="00936602" w14:paraId="2C97C384" w14:textId="77777777" w:rsidTr="00E3407E">
        <w:tc>
          <w:tcPr>
            <w:tcW w:w="9805" w:type="dxa"/>
            <w:gridSpan w:val="3"/>
            <w:shd w:val="clear" w:color="auto" w:fill="E7E6E6" w:themeFill="background2"/>
          </w:tcPr>
          <w:p w14:paraId="124CFBCF" w14:textId="0CE9F0AB" w:rsidR="00031CA6" w:rsidRPr="00E3407E" w:rsidRDefault="00027E2A" w:rsidP="00031CA6">
            <w:pPr>
              <w:jc w:val="center"/>
              <w:rPr>
                <w:b/>
                <w:bCs/>
                <w:sz w:val="24"/>
                <w:szCs w:val="24"/>
              </w:rPr>
            </w:pPr>
            <w:r>
              <w:rPr>
                <w:b/>
                <w:bCs/>
                <w:sz w:val="24"/>
                <w:szCs w:val="24"/>
              </w:rPr>
              <w:t>F</w:t>
            </w:r>
            <w:r w:rsidR="00936602" w:rsidRPr="00E3407E">
              <w:rPr>
                <w:b/>
                <w:bCs/>
                <w:sz w:val="24"/>
                <w:szCs w:val="24"/>
              </w:rPr>
              <w:t xml:space="preserve">eedback for sections not addressed </w:t>
            </w:r>
            <w:proofErr w:type="gramStart"/>
            <w:r w:rsidR="00936602" w:rsidRPr="00E3407E">
              <w:rPr>
                <w:b/>
                <w:bCs/>
                <w:sz w:val="24"/>
                <w:szCs w:val="24"/>
              </w:rPr>
              <w:t>above</w:t>
            </w:r>
            <w:proofErr w:type="gramEnd"/>
          </w:p>
          <w:p w14:paraId="729F6C6B" w14:textId="77777777" w:rsidR="00936602" w:rsidRPr="00E3407E" w:rsidRDefault="00936602" w:rsidP="00031CA6">
            <w:pPr>
              <w:jc w:val="center"/>
              <w:rPr>
                <w:b/>
                <w:bCs/>
                <w:color w:val="0070C0"/>
              </w:rPr>
            </w:pPr>
            <w:r w:rsidRPr="00E3407E">
              <w:rPr>
                <w:b/>
                <w:bCs/>
                <w:color w:val="0070C0"/>
              </w:rPr>
              <w:t>Please reference section names and page numbers.</w:t>
            </w:r>
          </w:p>
          <w:p w14:paraId="15F329D0" w14:textId="0314B241" w:rsidR="00031CA6" w:rsidRPr="00031CA6" w:rsidRDefault="00031CA6" w:rsidP="00031CA6">
            <w:pPr>
              <w:jc w:val="center"/>
              <w:rPr>
                <w:b/>
                <w:bCs/>
                <w:sz w:val="24"/>
                <w:szCs w:val="24"/>
              </w:rPr>
            </w:pPr>
            <w:r w:rsidRPr="00E3407E">
              <w:rPr>
                <w:b/>
                <w:bCs/>
                <w:color w:val="0070C0"/>
              </w:rPr>
              <w:t xml:space="preserve">Please put all of your additional feedback on a particular section in one place and </w:t>
            </w:r>
            <w:r w:rsidR="00E3407E" w:rsidRPr="00E3407E">
              <w:rPr>
                <w:b/>
                <w:bCs/>
                <w:color w:val="0070C0"/>
              </w:rPr>
              <w:t>use the A, B), and C) format for ease of sorting/tracking.</w:t>
            </w:r>
          </w:p>
        </w:tc>
      </w:tr>
      <w:tr w:rsidR="004F7681" w14:paraId="5FF57D47" w14:textId="77777777" w:rsidTr="00E3407E">
        <w:tc>
          <w:tcPr>
            <w:tcW w:w="1705" w:type="dxa"/>
          </w:tcPr>
          <w:p w14:paraId="55346635" w14:textId="1F10A088" w:rsidR="004F7681" w:rsidRPr="00031CA6" w:rsidRDefault="00031CA6" w:rsidP="00031CA6">
            <w:pPr>
              <w:jc w:val="center"/>
              <w:rPr>
                <w:b/>
                <w:bCs/>
              </w:rPr>
            </w:pPr>
            <w:r w:rsidRPr="00031CA6">
              <w:rPr>
                <w:b/>
                <w:bCs/>
              </w:rPr>
              <w:t>Section Name</w:t>
            </w:r>
          </w:p>
        </w:tc>
        <w:tc>
          <w:tcPr>
            <w:tcW w:w="1060" w:type="dxa"/>
          </w:tcPr>
          <w:p w14:paraId="5641F57D" w14:textId="4D35CFAA" w:rsidR="004F7681" w:rsidRPr="00031CA6" w:rsidRDefault="00031CA6" w:rsidP="00031CA6">
            <w:pPr>
              <w:jc w:val="center"/>
              <w:rPr>
                <w:b/>
                <w:bCs/>
              </w:rPr>
            </w:pPr>
            <w:r w:rsidRPr="00031CA6">
              <w:rPr>
                <w:b/>
                <w:bCs/>
              </w:rPr>
              <w:t>Page #</w:t>
            </w:r>
          </w:p>
        </w:tc>
        <w:tc>
          <w:tcPr>
            <w:tcW w:w="7040" w:type="dxa"/>
          </w:tcPr>
          <w:p w14:paraId="3B73AE60" w14:textId="1521D200" w:rsidR="004F7681" w:rsidRPr="00031CA6" w:rsidRDefault="00031CA6" w:rsidP="00031CA6">
            <w:pPr>
              <w:jc w:val="center"/>
              <w:rPr>
                <w:b/>
                <w:bCs/>
              </w:rPr>
            </w:pPr>
            <w:r w:rsidRPr="00031CA6">
              <w:rPr>
                <w:b/>
                <w:bCs/>
              </w:rPr>
              <w:t>Feedback</w:t>
            </w:r>
          </w:p>
        </w:tc>
      </w:tr>
      <w:tr w:rsidR="0069477D" w14:paraId="54028A26" w14:textId="77777777" w:rsidTr="00E0682F">
        <w:trPr>
          <w:trHeight w:val="341"/>
        </w:trPr>
        <w:tc>
          <w:tcPr>
            <w:tcW w:w="9805" w:type="dxa"/>
            <w:gridSpan w:val="3"/>
          </w:tcPr>
          <w:p w14:paraId="65AB991A" w14:textId="77777777" w:rsidR="0069477D" w:rsidRDefault="0069477D" w:rsidP="00D0732A">
            <w:r>
              <w:t>None</w:t>
            </w:r>
          </w:p>
          <w:p w14:paraId="451865B4" w14:textId="3C2B56BE" w:rsidR="00D0732A" w:rsidRDefault="00D0732A" w:rsidP="00D0732A"/>
        </w:tc>
      </w:tr>
      <w:tr w:rsidR="00027E2A" w14:paraId="3A871E11" w14:textId="77777777" w:rsidTr="00457905">
        <w:trPr>
          <w:trHeight w:val="143"/>
        </w:trPr>
        <w:tc>
          <w:tcPr>
            <w:tcW w:w="9805" w:type="dxa"/>
            <w:gridSpan w:val="3"/>
          </w:tcPr>
          <w:p w14:paraId="3DBA98DD" w14:textId="3343848C" w:rsidR="00027E2A" w:rsidRDefault="00027E2A" w:rsidP="00027E2A">
            <w:pPr>
              <w:jc w:val="center"/>
            </w:pPr>
            <w:r>
              <w:rPr>
                <w:b/>
                <w:bCs/>
                <w:sz w:val="24"/>
                <w:szCs w:val="24"/>
              </w:rPr>
              <w:t>General Feedback</w:t>
            </w:r>
          </w:p>
        </w:tc>
      </w:tr>
      <w:tr w:rsidR="00D87686" w14:paraId="67EAF264" w14:textId="77777777" w:rsidTr="00E3407E">
        <w:trPr>
          <w:trHeight w:val="143"/>
        </w:trPr>
        <w:tc>
          <w:tcPr>
            <w:tcW w:w="1705" w:type="dxa"/>
          </w:tcPr>
          <w:p w14:paraId="34C7869A" w14:textId="77777777" w:rsidR="00D87686" w:rsidRDefault="00D87686" w:rsidP="003431F9"/>
        </w:tc>
        <w:tc>
          <w:tcPr>
            <w:tcW w:w="1060" w:type="dxa"/>
          </w:tcPr>
          <w:p w14:paraId="65839D5B" w14:textId="77777777" w:rsidR="00D87686" w:rsidRDefault="00D87686"/>
        </w:tc>
        <w:tc>
          <w:tcPr>
            <w:tcW w:w="7040" w:type="dxa"/>
          </w:tcPr>
          <w:p w14:paraId="05389CFB" w14:textId="6872120F" w:rsidR="00D87686" w:rsidRPr="0069477D" w:rsidRDefault="00032407">
            <w:r w:rsidRPr="0069477D">
              <w:t xml:space="preserve">The Planning Commission acknowledges this report is still in draft form and does not feel comfortable sending a recommendation to the Board of Commissioners until the draft is finalized.  (The Planning Commission will </w:t>
            </w:r>
            <w:r w:rsidRPr="0069477D">
              <w:lastRenderedPageBreak/>
              <w:t xml:space="preserve">not have another opportunity to give feedback on the draft report.)  The commission does not want to delay the process and understands the time sensitivity of potential CUP applications.  The Planning Commission agreed to be ready to engage with the BOC (if asked) once the report is complete.  </w:t>
            </w:r>
          </w:p>
        </w:tc>
      </w:tr>
    </w:tbl>
    <w:p w14:paraId="12FAB3D6" w14:textId="77777777" w:rsidR="00D54977" w:rsidRDefault="00D54977" w:rsidP="00E0702C"/>
    <w:sectPr w:rsidR="00D5497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3990" w14:textId="77777777" w:rsidR="00D60CE5" w:rsidRDefault="00D60CE5" w:rsidP="00027E2A">
      <w:pPr>
        <w:spacing w:after="0" w:line="240" w:lineRule="auto"/>
      </w:pPr>
      <w:r>
        <w:separator/>
      </w:r>
    </w:p>
  </w:endnote>
  <w:endnote w:type="continuationSeparator" w:id="0">
    <w:p w14:paraId="40F6C684" w14:textId="77777777" w:rsidR="00D60CE5" w:rsidRDefault="00D60CE5" w:rsidP="0002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87219"/>
      <w:docPartObj>
        <w:docPartGallery w:val="Page Numbers (Bottom of Page)"/>
        <w:docPartUnique/>
      </w:docPartObj>
    </w:sdtPr>
    <w:sdtEndPr>
      <w:rPr>
        <w:noProof/>
      </w:rPr>
    </w:sdtEndPr>
    <w:sdtContent>
      <w:p w14:paraId="3D4E12D1" w14:textId="40A6D419" w:rsidR="0069477D" w:rsidRDefault="00694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4C5D3" w14:textId="77777777" w:rsidR="00027E2A" w:rsidRDefault="0002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0027" w14:textId="77777777" w:rsidR="00D60CE5" w:rsidRDefault="00D60CE5" w:rsidP="00027E2A">
      <w:pPr>
        <w:spacing w:after="0" w:line="240" w:lineRule="auto"/>
      </w:pPr>
      <w:r>
        <w:separator/>
      </w:r>
    </w:p>
  </w:footnote>
  <w:footnote w:type="continuationSeparator" w:id="0">
    <w:p w14:paraId="2E5BBD13" w14:textId="77777777" w:rsidR="00D60CE5" w:rsidRDefault="00D60CE5" w:rsidP="00027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4F57" w14:textId="77777777" w:rsidR="00202852" w:rsidRDefault="00202852" w:rsidP="00202852">
    <w:pPr>
      <w:spacing w:after="0"/>
      <w:jc w:val="center"/>
      <w:rPr>
        <w:b/>
        <w:bCs/>
        <w:color w:val="0070C0"/>
        <w:sz w:val="28"/>
        <w:szCs w:val="28"/>
      </w:rPr>
    </w:pPr>
    <w:bookmarkStart w:id="0" w:name="_Hlk126083072"/>
    <w:r w:rsidRPr="00202852">
      <w:rPr>
        <w:b/>
        <w:bCs/>
        <w:color w:val="0070C0"/>
        <w:sz w:val="28"/>
        <w:szCs w:val="28"/>
      </w:rPr>
      <w:t xml:space="preserve">Planning Commissioners’ </w:t>
    </w:r>
    <w:r>
      <w:rPr>
        <w:b/>
        <w:bCs/>
        <w:color w:val="0070C0"/>
        <w:sz w:val="28"/>
        <w:szCs w:val="28"/>
      </w:rPr>
      <w:t>I</w:t>
    </w:r>
    <w:r w:rsidRPr="00202852">
      <w:rPr>
        <w:b/>
        <w:bCs/>
        <w:color w:val="0070C0"/>
        <w:sz w:val="28"/>
        <w:szCs w:val="28"/>
      </w:rPr>
      <w:t xml:space="preserve">nformal </w:t>
    </w:r>
    <w:r>
      <w:rPr>
        <w:b/>
        <w:bCs/>
        <w:color w:val="0070C0"/>
        <w:sz w:val="28"/>
        <w:szCs w:val="28"/>
      </w:rPr>
      <w:t>D</w:t>
    </w:r>
    <w:r w:rsidRPr="00202852">
      <w:rPr>
        <w:b/>
        <w:bCs/>
        <w:color w:val="0070C0"/>
        <w:sz w:val="28"/>
        <w:szCs w:val="28"/>
      </w:rPr>
      <w:t xml:space="preserve">iscussion </w:t>
    </w:r>
    <w:r>
      <w:rPr>
        <w:b/>
        <w:bCs/>
        <w:color w:val="0070C0"/>
        <w:sz w:val="28"/>
        <w:szCs w:val="28"/>
      </w:rPr>
      <w:t>C</w:t>
    </w:r>
    <w:r w:rsidRPr="00202852">
      <w:rPr>
        <w:b/>
        <w:bCs/>
        <w:color w:val="0070C0"/>
        <w:sz w:val="28"/>
        <w:szCs w:val="28"/>
      </w:rPr>
      <w:t xml:space="preserve">omments </w:t>
    </w:r>
  </w:p>
  <w:p w14:paraId="12A55DFE" w14:textId="7BD19B2F" w:rsidR="00202852" w:rsidRPr="00D0732A" w:rsidRDefault="00202852" w:rsidP="00202852">
    <w:pPr>
      <w:spacing w:after="0"/>
      <w:jc w:val="center"/>
      <w:rPr>
        <w:b/>
        <w:bCs/>
        <w:color w:val="0070C0"/>
        <w:sz w:val="28"/>
        <w:szCs w:val="28"/>
      </w:rPr>
    </w:pPr>
    <w:r>
      <w:rPr>
        <w:b/>
        <w:bCs/>
        <w:color w:val="0070C0"/>
        <w:sz w:val="28"/>
        <w:szCs w:val="28"/>
      </w:rPr>
      <w:t xml:space="preserve">on </w:t>
    </w:r>
    <w:r w:rsidRPr="000424D6">
      <w:rPr>
        <w:b/>
        <w:bCs/>
        <w:color w:val="0070C0"/>
        <w:sz w:val="28"/>
        <w:szCs w:val="28"/>
      </w:rPr>
      <w:t xml:space="preserve">BCTT Work Group Report Draft #3 </w:t>
    </w:r>
  </w:p>
  <w:p w14:paraId="5849A414" w14:textId="2888942D" w:rsidR="00202852" w:rsidRPr="00330ACA" w:rsidRDefault="00202852" w:rsidP="00330ACA">
    <w:pPr>
      <w:spacing w:after="0"/>
      <w:jc w:val="center"/>
      <w:rPr>
        <w:b/>
        <w:bCs/>
        <w:color w:val="0070C0"/>
        <w:sz w:val="28"/>
        <w:szCs w:val="28"/>
      </w:rPr>
    </w:pPr>
    <w:r w:rsidRPr="00202852">
      <w:rPr>
        <w:b/>
        <w:bCs/>
        <w:color w:val="0070C0"/>
        <w:sz w:val="28"/>
        <w:szCs w:val="28"/>
      </w:rPr>
      <w:t>from 1/31 and 2/7/2023</w:t>
    </w:r>
    <w:r>
      <w:rPr>
        <w:b/>
        <w:bCs/>
        <w:color w:val="0070C0"/>
        <w:sz w:val="28"/>
        <w:szCs w:val="28"/>
      </w:rPr>
      <w:t xml:space="preserve"> Meetings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C2B"/>
    <w:multiLevelType w:val="hybridMultilevel"/>
    <w:tmpl w:val="DE0E6E66"/>
    <w:lvl w:ilvl="0" w:tplc="EFAC4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31DE5"/>
    <w:multiLevelType w:val="hybridMultilevel"/>
    <w:tmpl w:val="A94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E7BF4"/>
    <w:multiLevelType w:val="hybridMultilevel"/>
    <w:tmpl w:val="BE3466FA"/>
    <w:lvl w:ilvl="0" w:tplc="45A67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D0537"/>
    <w:multiLevelType w:val="hybridMultilevel"/>
    <w:tmpl w:val="BA74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2147"/>
    <w:multiLevelType w:val="multilevel"/>
    <w:tmpl w:val="9CB4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465EE"/>
    <w:multiLevelType w:val="hybridMultilevel"/>
    <w:tmpl w:val="12E64F54"/>
    <w:lvl w:ilvl="0" w:tplc="A054336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A5A44"/>
    <w:multiLevelType w:val="hybridMultilevel"/>
    <w:tmpl w:val="F16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E6E58"/>
    <w:multiLevelType w:val="hybridMultilevel"/>
    <w:tmpl w:val="F7B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4A9C"/>
    <w:multiLevelType w:val="hybridMultilevel"/>
    <w:tmpl w:val="F8B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42559"/>
    <w:multiLevelType w:val="hybridMultilevel"/>
    <w:tmpl w:val="F6E8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14293">
    <w:abstractNumId w:val="5"/>
  </w:num>
  <w:num w:numId="2" w16cid:durableId="1882521712">
    <w:abstractNumId w:val="0"/>
  </w:num>
  <w:num w:numId="3" w16cid:durableId="709499035">
    <w:abstractNumId w:val="4"/>
  </w:num>
  <w:num w:numId="4" w16cid:durableId="2075739080">
    <w:abstractNumId w:val="2"/>
  </w:num>
  <w:num w:numId="5" w16cid:durableId="1223368569">
    <w:abstractNumId w:val="3"/>
  </w:num>
  <w:num w:numId="6" w16cid:durableId="78717578">
    <w:abstractNumId w:val="7"/>
  </w:num>
  <w:num w:numId="7" w16cid:durableId="577516708">
    <w:abstractNumId w:val="9"/>
  </w:num>
  <w:num w:numId="8" w16cid:durableId="375199467">
    <w:abstractNumId w:val="6"/>
  </w:num>
  <w:num w:numId="9" w16cid:durableId="1085420486">
    <w:abstractNumId w:val="8"/>
  </w:num>
  <w:num w:numId="10" w16cid:durableId="49616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jI1sbQ0szQ1NTJQ0lEKTi0uzszPAykwqgUAJSa6WywAAAA="/>
  </w:docVars>
  <w:rsids>
    <w:rsidRoot w:val="002B3317"/>
    <w:rsid w:val="00007A7F"/>
    <w:rsid w:val="00017DF9"/>
    <w:rsid w:val="00027E2A"/>
    <w:rsid w:val="00031CA6"/>
    <w:rsid w:val="00032407"/>
    <w:rsid w:val="0003370F"/>
    <w:rsid w:val="00036555"/>
    <w:rsid w:val="00040B77"/>
    <w:rsid w:val="000424D6"/>
    <w:rsid w:val="00052FC8"/>
    <w:rsid w:val="00066EFD"/>
    <w:rsid w:val="0008526F"/>
    <w:rsid w:val="000A75FE"/>
    <w:rsid w:val="000B3D25"/>
    <w:rsid w:val="000C7C1A"/>
    <w:rsid w:val="000D75B8"/>
    <w:rsid w:val="0010219D"/>
    <w:rsid w:val="001C0687"/>
    <w:rsid w:val="001F2895"/>
    <w:rsid w:val="00202852"/>
    <w:rsid w:val="00235497"/>
    <w:rsid w:val="00265DD2"/>
    <w:rsid w:val="00273116"/>
    <w:rsid w:val="0027402C"/>
    <w:rsid w:val="00293F98"/>
    <w:rsid w:val="002A70CD"/>
    <w:rsid w:val="002B3317"/>
    <w:rsid w:val="002E7FC8"/>
    <w:rsid w:val="002F7C99"/>
    <w:rsid w:val="00321EB6"/>
    <w:rsid w:val="0032651C"/>
    <w:rsid w:val="00330ACA"/>
    <w:rsid w:val="003431F9"/>
    <w:rsid w:val="00385E32"/>
    <w:rsid w:val="00386406"/>
    <w:rsid w:val="0039375B"/>
    <w:rsid w:val="003F0BFD"/>
    <w:rsid w:val="00412007"/>
    <w:rsid w:val="00424762"/>
    <w:rsid w:val="00430E07"/>
    <w:rsid w:val="00433D8D"/>
    <w:rsid w:val="004356DF"/>
    <w:rsid w:val="00440DE8"/>
    <w:rsid w:val="00475793"/>
    <w:rsid w:val="00495C2E"/>
    <w:rsid w:val="004A034C"/>
    <w:rsid w:val="004F7681"/>
    <w:rsid w:val="00511100"/>
    <w:rsid w:val="00524146"/>
    <w:rsid w:val="00551A18"/>
    <w:rsid w:val="005524D5"/>
    <w:rsid w:val="00577B46"/>
    <w:rsid w:val="005D082E"/>
    <w:rsid w:val="0064036C"/>
    <w:rsid w:val="00663015"/>
    <w:rsid w:val="0069477D"/>
    <w:rsid w:val="006A2EFF"/>
    <w:rsid w:val="006E17B1"/>
    <w:rsid w:val="006F19E6"/>
    <w:rsid w:val="00743B0E"/>
    <w:rsid w:val="00746BC8"/>
    <w:rsid w:val="00824AE2"/>
    <w:rsid w:val="00852CE5"/>
    <w:rsid w:val="008742F1"/>
    <w:rsid w:val="008A0117"/>
    <w:rsid w:val="008B4357"/>
    <w:rsid w:val="00930A65"/>
    <w:rsid w:val="00936602"/>
    <w:rsid w:val="0099257F"/>
    <w:rsid w:val="00994CE7"/>
    <w:rsid w:val="009A3A69"/>
    <w:rsid w:val="009A6C4B"/>
    <w:rsid w:val="009D7718"/>
    <w:rsid w:val="009F74F2"/>
    <w:rsid w:val="00AC7316"/>
    <w:rsid w:val="00B26083"/>
    <w:rsid w:val="00B64437"/>
    <w:rsid w:val="00BC01C4"/>
    <w:rsid w:val="00BE2E34"/>
    <w:rsid w:val="00BF6AB0"/>
    <w:rsid w:val="00C4252A"/>
    <w:rsid w:val="00D0732A"/>
    <w:rsid w:val="00D15028"/>
    <w:rsid w:val="00D212DC"/>
    <w:rsid w:val="00D54977"/>
    <w:rsid w:val="00D60CE5"/>
    <w:rsid w:val="00D87686"/>
    <w:rsid w:val="00DC297F"/>
    <w:rsid w:val="00E0682F"/>
    <w:rsid w:val="00E0702C"/>
    <w:rsid w:val="00E3407E"/>
    <w:rsid w:val="00E42C3F"/>
    <w:rsid w:val="00E5130A"/>
    <w:rsid w:val="00E75DF0"/>
    <w:rsid w:val="00EA1EF5"/>
    <w:rsid w:val="00EB449E"/>
    <w:rsid w:val="00EF7F87"/>
    <w:rsid w:val="00F15B7F"/>
    <w:rsid w:val="00FD0B46"/>
    <w:rsid w:val="00FD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413"/>
  <w15:chartTrackingRefBased/>
  <w15:docId w15:val="{C1397181-965C-466C-87AB-70DD841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17"/>
    <w:pPr>
      <w:ind w:left="720"/>
      <w:contextualSpacing/>
    </w:pPr>
  </w:style>
  <w:style w:type="character" w:styleId="Hyperlink">
    <w:name w:val="Hyperlink"/>
    <w:basedOn w:val="DefaultParagraphFont"/>
    <w:uiPriority w:val="99"/>
    <w:unhideWhenUsed/>
    <w:rsid w:val="000A75FE"/>
    <w:rPr>
      <w:color w:val="0563C1" w:themeColor="hyperlink"/>
      <w:u w:val="single"/>
    </w:rPr>
  </w:style>
  <w:style w:type="character" w:styleId="UnresolvedMention">
    <w:name w:val="Unresolved Mention"/>
    <w:basedOn w:val="DefaultParagraphFont"/>
    <w:uiPriority w:val="99"/>
    <w:semiHidden/>
    <w:unhideWhenUsed/>
    <w:rsid w:val="000A75FE"/>
    <w:rPr>
      <w:color w:val="605E5C"/>
      <w:shd w:val="clear" w:color="auto" w:fill="E1DFDD"/>
    </w:rPr>
  </w:style>
  <w:style w:type="character" w:styleId="FollowedHyperlink">
    <w:name w:val="FollowedHyperlink"/>
    <w:basedOn w:val="DefaultParagraphFont"/>
    <w:uiPriority w:val="99"/>
    <w:semiHidden/>
    <w:unhideWhenUsed/>
    <w:rsid w:val="00273116"/>
    <w:rPr>
      <w:color w:val="954F72" w:themeColor="followedHyperlink"/>
      <w:u w:val="single"/>
    </w:rPr>
  </w:style>
  <w:style w:type="table" w:styleId="TableGrid">
    <w:name w:val="Table Grid"/>
    <w:basedOn w:val="TableNormal"/>
    <w:uiPriority w:val="39"/>
    <w:rsid w:val="009D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2A"/>
  </w:style>
  <w:style w:type="paragraph" w:styleId="Footer">
    <w:name w:val="footer"/>
    <w:basedOn w:val="Normal"/>
    <w:link w:val="FooterChar"/>
    <w:uiPriority w:val="99"/>
    <w:unhideWhenUsed/>
    <w:rsid w:val="0002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2A"/>
  </w:style>
  <w:style w:type="paragraph" w:styleId="Revision">
    <w:name w:val="Revision"/>
    <w:hidden/>
    <w:uiPriority w:val="99"/>
    <w:semiHidden/>
    <w:rsid w:val="00552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4498">
      <w:bodyDiv w:val="1"/>
      <w:marLeft w:val="0"/>
      <w:marRight w:val="0"/>
      <w:marTop w:val="0"/>
      <w:marBottom w:val="0"/>
      <w:divBdr>
        <w:top w:val="none" w:sz="0" w:space="0" w:color="auto"/>
        <w:left w:val="none" w:sz="0" w:space="0" w:color="auto"/>
        <w:bottom w:val="none" w:sz="0" w:space="0" w:color="auto"/>
        <w:right w:val="none" w:sz="0" w:space="0" w:color="auto"/>
      </w:divBdr>
    </w:div>
    <w:div w:id="9040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benton.or.us/sites/default/files/fileattachments/community_development/page/8208/bctt_final_report_draft_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benton.or.us/sites/default/files/fileattachments/community_development/page/8208/bctt_final_report_draft_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benton.or.us/sites/default/files/fileattachments/community_development/page/8208/bctt_final_report_draft_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benton.or.us/sites/default/files/fileattachments/community_development/page/8208/history_doc_1-31-23_at_11am.docx" TargetMode="External"/><Relationship Id="rId5" Type="http://schemas.openxmlformats.org/officeDocument/2006/relationships/styles" Target="styles.xml"/><Relationship Id="rId15" Type="http://schemas.openxmlformats.org/officeDocument/2006/relationships/hyperlink" Target="https://www.co.benton.or.us/sites/default/files/fileattachments/community_development/page/8208/bctt_final_report_draft_3.pdf" TargetMode="External"/><Relationship Id="rId10" Type="http://schemas.openxmlformats.org/officeDocument/2006/relationships/hyperlink" Target="https://www.co.benton.or.us/sites/default/files/fileattachments/community_development/page/8208/bctt_final_report_draft_3.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benton.or.us/sites/default/files/fileattachments/community_development/page/8208/bctt_final_report_draft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34186F02ACA41BF383C93F7A4FF12" ma:contentTypeVersion="4" ma:contentTypeDescription="Create a new document." ma:contentTypeScope="" ma:versionID="d85b2fee7760cb8590b5e5fe51a23240">
  <xsd:schema xmlns:xsd="http://www.w3.org/2001/XMLSchema" xmlns:xs="http://www.w3.org/2001/XMLSchema" xmlns:p="http://schemas.microsoft.com/office/2006/metadata/properties" xmlns:ns2="e77405e0-973e-4621-980b-3c1a47f390df" xmlns:ns3="b014f41c-055e-4d80-b111-2d31123103ce" targetNamespace="http://schemas.microsoft.com/office/2006/metadata/properties" ma:root="true" ma:fieldsID="7c15238ef3679f12be4bddc100b6dadd" ns2:_="" ns3:_="">
    <xsd:import namespace="e77405e0-973e-4621-980b-3c1a47f390df"/>
    <xsd:import namespace="b014f41c-055e-4d80-b111-2d3112310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405e0-973e-4621-980b-3c1a47f39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4f41c-055e-4d80-b111-2d3112310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1906C-3562-4FA2-8E2F-B3105FC84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405e0-973e-4621-980b-3c1a47f390df"/>
    <ds:schemaRef ds:uri="b014f41c-055e-4d80-b111-2d311231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508A1-2C42-4C74-8EBD-AD664A2CC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A3781-6DAD-4044-B3D4-82EEA9206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Benton County - Oregon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REDICK Daniel</dc:creator>
  <cp:keywords/>
  <dc:description/>
  <cp:lastModifiedBy>Sam Imperati</cp:lastModifiedBy>
  <cp:revision>2</cp:revision>
  <dcterms:created xsi:type="dcterms:W3CDTF">2023-02-15T20:39:00Z</dcterms:created>
  <dcterms:modified xsi:type="dcterms:W3CDTF">2023-02-15T20:39:00Z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0x010100C7334186F02ACA41BF383C93F7A4FF12</vt:lpwstr>
  </property>
  <property fmtid="{D5CDD505-2E9C-101B-9397-08002B2CF9AE}" pid="3" name="GrammarlyDocumentId">
    <vt:lpwstr>e8eb27684a5380fb25640e6cddfb74b0645e5c779eef20d74627af572ce3aa53</vt:lpwstr>
  </property>
</Properties>
</file>