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8BB3" w14:textId="1BE005E8" w:rsidR="00F071F7" w:rsidRPr="001C5EB7" w:rsidRDefault="00F071F7" w:rsidP="001C5EB7">
      <w:pPr>
        <w:pStyle w:val="NormalWeb"/>
        <w:spacing w:before="0" w:after="0"/>
        <w:jc w:val="center"/>
        <w:rPr>
          <w:rFonts w:ascii="Calibri" w:hAnsi="Calibri" w:cs="Calibri"/>
          <w:b/>
          <w:bCs/>
          <w:color w:val="0070C0"/>
          <w:sz w:val="32"/>
          <w:szCs w:val="32"/>
        </w:rPr>
      </w:pPr>
      <w:r w:rsidRPr="001C5EB7">
        <w:rPr>
          <w:rFonts w:ascii="Calibri" w:hAnsi="Calibri" w:cs="Calibri"/>
          <w:b/>
          <w:bCs/>
          <w:color w:val="0070C0"/>
          <w:sz w:val="32"/>
          <w:szCs w:val="32"/>
        </w:rPr>
        <w:t xml:space="preserve">BCTT Subcommittee - </w:t>
      </w:r>
      <w:r w:rsidR="008E11EB" w:rsidRPr="008E11EB">
        <w:rPr>
          <w:rFonts w:ascii="Calibri" w:hAnsi="Calibri" w:cs="Calibri"/>
          <w:b/>
          <w:bCs/>
          <w:color w:val="0070C0"/>
          <w:sz w:val="32"/>
          <w:szCs w:val="32"/>
        </w:rPr>
        <w:t>A.3. Legal Issues and B.1. Land Use Review</w:t>
      </w:r>
    </w:p>
    <w:p w14:paraId="184BF5E7" w14:textId="4399D976" w:rsidR="00C32FF3" w:rsidRDefault="00C32FF3" w:rsidP="00C32FF3">
      <w:pPr>
        <w:pStyle w:val="NormalWeb"/>
        <w:jc w:val="center"/>
        <w:rPr>
          <w:rFonts w:ascii="Calibri" w:hAnsi="Calibri" w:cs="Calibri"/>
          <w:b/>
          <w:bCs/>
          <w:sz w:val="28"/>
          <w:szCs w:val="28"/>
        </w:rPr>
      </w:pPr>
      <w:r>
        <w:rPr>
          <w:rFonts w:ascii="Calibri" w:hAnsi="Calibri" w:cs="Calibri"/>
          <w:b/>
          <w:bCs/>
          <w:sz w:val="28"/>
          <w:szCs w:val="28"/>
        </w:rPr>
        <w:t>Subcommittee Meetings Report</w:t>
      </w:r>
    </w:p>
    <w:p w14:paraId="00385BB1" w14:textId="6B3DDEC8" w:rsidR="00C32FF3" w:rsidRDefault="00C32FF3" w:rsidP="00C32FF3">
      <w:pPr>
        <w:pStyle w:val="NormalWeb"/>
        <w:jc w:val="center"/>
        <w:rPr>
          <w:rFonts w:ascii="Calibri" w:hAnsi="Calibri" w:cs="Calibri"/>
          <w:b/>
          <w:bCs/>
          <w:sz w:val="28"/>
          <w:szCs w:val="28"/>
        </w:rPr>
      </w:pPr>
      <w:r>
        <w:rPr>
          <w:rFonts w:ascii="Calibri" w:hAnsi="Calibri" w:cs="Calibri"/>
          <w:b/>
          <w:bCs/>
          <w:sz w:val="28"/>
          <w:szCs w:val="28"/>
        </w:rPr>
        <w:t>11/7/2022</w:t>
      </w:r>
    </w:p>
    <w:p w14:paraId="1DDD5389" w14:textId="454F8FC9" w:rsidR="001C5EB7" w:rsidRPr="001C5EB7" w:rsidRDefault="001C5EB7" w:rsidP="001C5EB7">
      <w:pPr>
        <w:pStyle w:val="NormalWeb"/>
        <w:rPr>
          <w:rFonts w:ascii="Calibri" w:hAnsi="Calibri" w:cs="Calibri"/>
          <w:b/>
          <w:bCs/>
          <w:sz w:val="28"/>
          <w:szCs w:val="28"/>
        </w:rPr>
      </w:pPr>
      <w:r w:rsidRPr="001C5EB7">
        <w:rPr>
          <w:rFonts w:ascii="Calibri" w:hAnsi="Calibri" w:cs="Calibri"/>
          <w:b/>
          <w:bCs/>
          <w:sz w:val="28"/>
          <w:szCs w:val="28"/>
        </w:rPr>
        <w:t xml:space="preserve">Charge </w:t>
      </w:r>
    </w:p>
    <w:p w14:paraId="55CBC724" w14:textId="77777777" w:rsidR="008E11EB" w:rsidRPr="00BF7E3F" w:rsidRDefault="008E11EB" w:rsidP="008E11EB">
      <w:pPr>
        <w:numPr>
          <w:ilvl w:val="0"/>
          <w:numId w:val="14"/>
        </w:numPr>
        <w:rPr>
          <w:b/>
          <w:bCs/>
          <w:i/>
          <w:iCs/>
        </w:rPr>
      </w:pPr>
      <w:r w:rsidRPr="00BF7E3F">
        <w:rPr>
          <w:b/>
          <w:bCs/>
          <w:i/>
          <w:iCs/>
        </w:rPr>
        <w:t xml:space="preserve">A Summary of the </w:t>
      </w:r>
      <w:hyperlink w:anchor="County_Republic" w:history="1">
        <w:r w:rsidRPr="0046166E">
          <w:rPr>
            <w:rStyle w:val="Hyperlink"/>
            <w:b/>
            <w:bCs/>
            <w:i/>
            <w:iCs/>
          </w:rPr>
          <w:t>County’s current rights and obligations to Republic Services, and vice versa</w:t>
        </w:r>
      </w:hyperlink>
      <w:r w:rsidRPr="00BF7E3F">
        <w:rPr>
          <w:b/>
          <w:bCs/>
          <w:i/>
          <w:iCs/>
        </w:rPr>
        <w:t>, surrounding:</w:t>
      </w:r>
    </w:p>
    <w:p w14:paraId="05A3838D" w14:textId="77777777" w:rsidR="008E11EB" w:rsidRPr="00BF7E3F" w:rsidRDefault="008E11EB" w:rsidP="008E11EB">
      <w:pPr>
        <w:numPr>
          <w:ilvl w:val="1"/>
          <w:numId w:val="14"/>
        </w:numPr>
        <w:rPr>
          <w:b/>
          <w:bCs/>
          <w:i/>
          <w:iCs/>
        </w:rPr>
      </w:pPr>
      <w:r w:rsidRPr="00BF7E3F">
        <w:rPr>
          <w:b/>
          <w:bCs/>
          <w:i/>
          <w:iCs/>
        </w:rPr>
        <w:t>The hauling franchise;</w:t>
      </w:r>
    </w:p>
    <w:p w14:paraId="6CFA7909" w14:textId="77777777" w:rsidR="008E11EB" w:rsidRPr="00BF7E3F" w:rsidRDefault="008E11EB" w:rsidP="008E11EB">
      <w:pPr>
        <w:numPr>
          <w:ilvl w:val="1"/>
          <w:numId w:val="14"/>
        </w:numPr>
        <w:rPr>
          <w:b/>
          <w:bCs/>
          <w:i/>
          <w:iCs/>
        </w:rPr>
      </w:pPr>
      <w:r w:rsidRPr="00BF7E3F">
        <w:rPr>
          <w:b/>
          <w:bCs/>
          <w:i/>
          <w:iCs/>
        </w:rPr>
        <w:t>The landfill CUP; and</w:t>
      </w:r>
    </w:p>
    <w:p w14:paraId="60022CAD" w14:textId="77777777" w:rsidR="008E11EB" w:rsidRPr="00BF7E3F" w:rsidRDefault="008E11EB" w:rsidP="008E11EB">
      <w:pPr>
        <w:numPr>
          <w:ilvl w:val="1"/>
          <w:numId w:val="14"/>
        </w:numPr>
        <w:rPr>
          <w:b/>
          <w:bCs/>
          <w:i/>
          <w:iCs/>
        </w:rPr>
      </w:pPr>
      <w:r w:rsidRPr="00BF7E3F">
        <w:rPr>
          <w:b/>
          <w:bCs/>
          <w:i/>
          <w:iCs/>
        </w:rPr>
        <w:t xml:space="preserve">What legally can and cannot be conditions of any land use approvals (e.g. past compliance, compliance with future laws, codes, and policies, DEQ compliance, reopening, limitations on what can be brought into the County from where, required facilities and practices, </w:t>
      </w:r>
      <w:hyperlink w:anchor="Reporting" w:history="1">
        <w:r w:rsidRPr="0046166E">
          <w:rPr>
            <w:rStyle w:val="Hyperlink"/>
            <w:b/>
            <w:bCs/>
            <w:i/>
            <w:iCs/>
          </w:rPr>
          <w:t>reporting/compliance/financial monitoring requirements</w:t>
        </w:r>
      </w:hyperlink>
      <w:r w:rsidRPr="00BF7E3F">
        <w:rPr>
          <w:b/>
          <w:bCs/>
          <w:i/>
          <w:iCs/>
        </w:rPr>
        <w:t>, etc.)</w:t>
      </w:r>
    </w:p>
    <w:p w14:paraId="4E78E3F4" w14:textId="77777777" w:rsidR="008E11EB" w:rsidRPr="00BF7E3F" w:rsidRDefault="00C32FF3" w:rsidP="008E11EB">
      <w:pPr>
        <w:numPr>
          <w:ilvl w:val="1"/>
          <w:numId w:val="14"/>
        </w:numPr>
        <w:rPr>
          <w:b/>
          <w:bCs/>
          <w:i/>
          <w:iCs/>
        </w:rPr>
      </w:pPr>
      <w:hyperlink w:anchor="Deference" w:history="1">
        <w:r w:rsidR="008E11EB" w:rsidRPr="0046166E">
          <w:rPr>
            <w:rStyle w:val="Hyperlink"/>
            <w:b/>
            <w:bCs/>
            <w:i/>
            <w:iCs/>
          </w:rPr>
          <w:t>Interpretation and Deference</w:t>
        </w:r>
      </w:hyperlink>
    </w:p>
    <w:p w14:paraId="0ECDF231" w14:textId="77777777" w:rsidR="008E11EB" w:rsidRPr="00BF7E3F" w:rsidRDefault="008E11EB" w:rsidP="008E11EB">
      <w:pPr>
        <w:numPr>
          <w:ilvl w:val="0"/>
          <w:numId w:val="14"/>
        </w:numPr>
        <w:rPr>
          <w:b/>
          <w:bCs/>
          <w:i/>
          <w:iCs/>
        </w:rPr>
      </w:pPr>
      <w:r w:rsidRPr="00BF7E3F">
        <w:rPr>
          <w:b/>
          <w:bCs/>
          <w:i/>
          <w:iCs/>
        </w:rPr>
        <w:t xml:space="preserve">A Summary of the </w:t>
      </w:r>
      <w:hyperlink w:anchor="OtherEntities" w:history="1">
        <w:r w:rsidRPr="0046166E">
          <w:rPr>
            <w:rStyle w:val="Hyperlink"/>
            <w:b/>
            <w:bCs/>
            <w:i/>
            <w:iCs/>
          </w:rPr>
          <w:t>rights and obligations of other entities</w:t>
        </w:r>
      </w:hyperlink>
      <w:r w:rsidRPr="00BF7E3F">
        <w:rPr>
          <w:b/>
          <w:bCs/>
          <w:i/>
          <w:iCs/>
        </w:rPr>
        <w:t xml:space="preserve"> surrounding landfills, hauling, and sustainability initiatives, etc.:</w:t>
      </w:r>
    </w:p>
    <w:p w14:paraId="0DD10085" w14:textId="77777777" w:rsidR="008E11EB" w:rsidRPr="00BF7E3F" w:rsidRDefault="008E11EB" w:rsidP="008E11EB">
      <w:pPr>
        <w:numPr>
          <w:ilvl w:val="1"/>
          <w:numId w:val="14"/>
        </w:numPr>
        <w:rPr>
          <w:b/>
          <w:bCs/>
          <w:i/>
          <w:iCs/>
        </w:rPr>
      </w:pPr>
      <w:r w:rsidRPr="00BF7E3F">
        <w:rPr>
          <w:b/>
          <w:bCs/>
          <w:i/>
          <w:iCs/>
        </w:rPr>
        <w:t>Federal;</w:t>
      </w:r>
    </w:p>
    <w:p w14:paraId="260DA311" w14:textId="77777777" w:rsidR="008E11EB" w:rsidRPr="00BF7E3F" w:rsidRDefault="008E11EB" w:rsidP="008E11EB">
      <w:pPr>
        <w:numPr>
          <w:ilvl w:val="1"/>
          <w:numId w:val="14"/>
        </w:numPr>
        <w:rPr>
          <w:b/>
          <w:bCs/>
          <w:i/>
          <w:iCs/>
        </w:rPr>
      </w:pPr>
      <w:r w:rsidRPr="00BF7E3F">
        <w:rPr>
          <w:b/>
          <w:bCs/>
          <w:i/>
          <w:iCs/>
        </w:rPr>
        <w:t>Tribal;</w:t>
      </w:r>
    </w:p>
    <w:p w14:paraId="74359837" w14:textId="77777777" w:rsidR="008E11EB" w:rsidRPr="00BF7E3F" w:rsidRDefault="008E11EB" w:rsidP="008E11EB">
      <w:pPr>
        <w:numPr>
          <w:ilvl w:val="1"/>
          <w:numId w:val="14"/>
        </w:numPr>
        <w:rPr>
          <w:b/>
          <w:bCs/>
          <w:i/>
          <w:iCs/>
        </w:rPr>
      </w:pPr>
      <w:r w:rsidRPr="00BF7E3F">
        <w:rPr>
          <w:b/>
          <w:bCs/>
          <w:i/>
          <w:iCs/>
        </w:rPr>
        <w:t>State (e.g. Is DEQ prohibited from permitting another landfill west of the Cascades and what does the “regional landfill” designation mean?);</w:t>
      </w:r>
    </w:p>
    <w:p w14:paraId="471D7C67" w14:textId="77777777" w:rsidR="008E11EB" w:rsidRPr="00BF7E3F" w:rsidRDefault="008E11EB" w:rsidP="008E11EB">
      <w:pPr>
        <w:numPr>
          <w:ilvl w:val="1"/>
          <w:numId w:val="14"/>
        </w:numPr>
        <w:rPr>
          <w:b/>
          <w:bCs/>
          <w:i/>
          <w:iCs/>
        </w:rPr>
      </w:pPr>
      <w:r w:rsidRPr="00BF7E3F">
        <w:rPr>
          <w:b/>
          <w:bCs/>
          <w:i/>
          <w:iCs/>
        </w:rPr>
        <w:t>Local Government; and</w:t>
      </w:r>
    </w:p>
    <w:p w14:paraId="513A5029" w14:textId="77777777" w:rsidR="008E11EB" w:rsidRPr="00BF7E3F" w:rsidRDefault="008E11EB" w:rsidP="008E11EB">
      <w:pPr>
        <w:numPr>
          <w:ilvl w:val="1"/>
          <w:numId w:val="14"/>
        </w:numPr>
        <w:rPr>
          <w:b/>
          <w:bCs/>
          <w:i/>
          <w:iCs/>
        </w:rPr>
      </w:pPr>
      <w:r w:rsidRPr="00BF7E3F">
        <w:rPr>
          <w:b/>
          <w:bCs/>
          <w:i/>
          <w:iCs/>
        </w:rPr>
        <w:t>Summary of the step-by-step process in ORS chapter 459 and associated timing for the cross-jurisdictional approvals of landfill applications, (e.g. DEQ) including:</w:t>
      </w:r>
    </w:p>
    <w:p w14:paraId="45221F71" w14:textId="77777777" w:rsidR="008E11EB" w:rsidRPr="00BF7E3F" w:rsidRDefault="008E11EB" w:rsidP="008E11EB">
      <w:pPr>
        <w:numPr>
          <w:ilvl w:val="2"/>
          <w:numId w:val="14"/>
        </w:numPr>
        <w:rPr>
          <w:b/>
          <w:bCs/>
          <w:i/>
          <w:iCs/>
        </w:rPr>
      </w:pPr>
      <w:r w:rsidRPr="00BF7E3F">
        <w:rPr>
          <w:b/>
          <w:bCs/>
          <w:i/>
          <w:iCs/>
        </w:rPr>
        <w:t>What topics are within whose authority, and</w:t>
      </w:r>
    </w:p>
    <w:p w14:paraId="491D1721" w14:textId="77777777" w:rsidR="008E11EB" w:rsidRPr="00BF7E3F" w:rsidRDefault="008E11EB" w:rsidP="008E11EB">
      <w:pPr>
        <w:numPr>
          <w:ilvl w:val="2"/>
          <w:numId w:val="14"/>
        </w:numPr>
        <w:rPr>
          <w:b/>
          <w:bCs/>
          <w:i/>
          <w:iCs/>
        </w:rPr>
      </w:pPr>
      <w:r w:rsidRPr="00BF7E3F">
        <w:rPr>
          <w:b/>
          <w:bCs/>
          <w:i/>
          <w:iCs/>
        </w:rPr>
        <w:t>Whether, for example, the County can or should consider the topics it does not have permitting authority over when assessing the criteria outlined in Code section 53.215?</w:t>
      </w:r>
    </w:p>
    <w:p w14:paraId="7C0D2819" w14:textId="77777777" w:rsidR="008E11EB" w:rsidRPr="00BF7E3F" w:rsidRDefault="00C32FF3" w:rsidP="008E11EB">
      <w:hyperlink w:anchor="ChargeB" w:history="1">
        <w:r w:rsidR="008E11EB" w:rsidRPr="0046166E">
          <w:rPr>
            <w:rStyle w:val="Hyperlink"/>
          </w:rPr>
          <w:t> </w:t>
        </w:r>
        <w:r w:rsidR="008E11EB" w:rsidRPr="0046166E">
          <w:rPr>
            <w:rStyle w:val="Hyperlink"/>
            <w:b/>
            <w:bCs/>
            <w:i/>
            <w:iCs/>
          </w:rPr>
          <w:t>Charge B: Land Use Review Tasks</w:t>
        </w:r>
      </w:hyperlink>
    </w:p>
    <w:p w14:paraId="1FC8427E" w14:textId="77777777" w:rsidR="008E11EB" w:rsidRPr="00BF7E3F" w:rsidRDefault="008E11EB" w:rsidP="008E11EB">
      <w:pPr>
        <w:numPr>
          <w:ilvl w:val="0"/>
          <w:numId w:val="15"/>
        </w:numPr>
        <w:rPr>
          <w:b/>
          <w:bCs/>
          <w:i/>
          <w:iCs/>
        </w:rPr>
      </w:pPr>
      <w:r w:rsidRPr="00BF7E3F">
        <w:rPr>
          <w:b/>
          <w:bCs/>
          <w:i/>
          <w:iCs/>
        </w:rPr>
        <w:t>Create a common understanding document outlining which Development Code criteria are applicable to the review of a conditional use application for landfill expansion by reviewing:</w:t>
      </w:r>
    </w:p>
    <w:p w14:paraId="60AB958B" w14:textId="77777777" w:rsidR="008E11EB" w:rsidRPr="00BF7E3F" w:rsidRDefault="008E11EB" w:rsidP="008E11EB">
      <w:pPr>
        <w:numPr>
          <w:ilvl w:val="1"/>
          <w:numId w:val="15"/>
        </w:numPr>
        <w:rPr>
          <w:b/>
          <w:bCs/>
          <w:i/>
          <w:iCs/>
        </w:rPr>
      </w:pPr>
      <w:r w:rsidRPr="00BF7E3F">
        <w:rPr>
          <w:b/>
          <w:bCs/>
          <w:i/>
          <w:iCs/>
        </w:rPr>
        <w:t>53.215 (Criteria)</w:t>
      </w:r>
    </w:p>
    <w:p w14:paraId="3194D10F" w14:textId="77777777" w:rsidR="008E11EB" w:rsidRPr="00BF7E3F" w:rsidRDefault="008E11EB" w:rsidP="008E11EB">
      <w:pPr>
        <w:numPr>
          <w:ilvl w:val="1"/>
          <w:numId w:val="15"/>
        </w:numPr>
        <w:rPr>
          <w:b/>
          <w:bCs/>
          <w:i/>
          <w:iCs/>
        </w:rPr>
      </w:pPr>
      <w:r w:rsidRPr="00BF7E3F">
        <w:rPr>
          <w:b/>
          <w:bCs/>
          <w:i/>
          <w:iCs/>
        </w:rPr>
        <w:t>77.305 (Conditional Uses)</w:t>
      </w:r>
    </w:p>
    <w:p w14:paraId="352504F1" w14:textId="77777777" w:rsidR="008E11EB" w:rsidRPr="00BF7E3F" w:rsidRDefault="008E11EB" w:rsidP="008E11EB">
      <w:pPr>
        <w:numPr>
          <w:ilvl w:val="1"/>
          <w:numId w:val="15"/>
        </w:numPr>
        <w:rPr>
          <w:b/>
          <w:bCs/>
          <w:i/>
          <w:iCs/>
        </w:rPr>
      </w:pPr>
      <w:r w:rsidRPr="00BF7E3F">
        <w:rPr>
          <w:b/>
          <w:bCs/>
          <w:i/>
          <w:iCs/>
        </w:rPr>
        <w:lastRenderedPageBreak/>
        <w:t>77.310 (Review)</w:t>
      </w:r>
    </w:p>
    <w:p w14:paraId="683B58E1" w14:textId="77777777" w:rsidR="008E11EB" w:rsidRPr="00BF7E3F" w:rsidRDefault="008E11EB" w:rsidP="008E11EB">
      <w:pPr>
        <w:numPr>
          <w:ilvl w:val="1"/>
          <w:numId w:val="15"/>
        </w:numPr>
        <w:rPr>
          <w:b/>
          <w:bCs/>
          <w:i/>
          <w:iCs/>
        </w:rPr>
      </w:pPr>
      <w:r w:rsidRPr="00BF7E3F">
        <w:rPr>
          <w:b/>
          <w:bCs/>
          <w:i/>
          <w:iCs/>
        </w:rPr>
        <w:t>77.405 (DEQ)</w:t>
      </w:r>
    </w:p>
    <w:p w14:paraId="47CDACF1" w14:textId="77777777" w:rsidR="008E11EB" w:rsidRPr="00BF7E3F" w:rsidRDefault="008E11EB" w:rsidP="008E11EB">
      <w:pPr>
        <w:numPr>
          <w:ilvl w:val="0"/>
          <w:numId w:val="15"/>
        </w:numPr>
        <w:rPr>
          <w:b/>
          <w:bCs/>
          <w:i/>
          <w:iCs/>
        </w:rPr>
      </w:pPr>
      <w:r w:rsidRPr="00BF7E3F">
        <w:rPr>
          <w:b/>
          <w:bCs/>
          <w:i/>
          <w:iCs/>
        </w:rPr>
        <w:t>Review Chapters 50 and 51 for context, and then prepare a conceptual list of any other Development Code criteria the WORKGROUP recommends be applicable.</w:t>
      </w:r>
    </w:p>
    <w:p w14:paraId="38708765" w14:textId="77777777" w:rsidR="008E11EB" w:rsidRPr="00BF7E3F" w:rsidRDefault="008E11EB" w:rsidP="008E11EB">
      <w:pPr>
        <w:numPr>
          <w:ilvl w:val="0"/>
          <w:numId w:val="15"/>
        </w:numPr>
        <w:rPr>
          <w:b/>
          <w:bCs/>
          <w:i/>
          <w:iCs/>
        </w:rPr>
      </w:pPr>
      <w:r w:rsidRPr="00BF7E3F">
        <w:rPr>
          <w:b/>
          <w:bCs/>
          <w:i/>
          <w:iCs/>
        </w:rPr>
        <w:t xml:space="preserve">Developing recommended </w:t>
      </w:r>
      <w:hyperlink w:anchor="InterpretingCode" w:history="1">
        <w:r w:rsidRPr="0046166E">
          <w:rPr>
            <w:rStyle w:val="Hyperlink"/>
            <w:b/>
            <w:bCs/>
            <w:i/>
            <w:iCs/>
          </w:rPr>
          <w:t>guidelines for interpreting any ambiguous provisions</w:t>
        </w:r>
      </w:hyperlink>
      <w:r w:rsidRPr="00BF7E3F">
        <w:rPr>
          <w:b/>
          <w:bCs/>
          <w:i/>
          <w:iCs/>
        </w:rPr>
        <w:t xml:space="preserve"> recognizing current statutes, regulations, case law, and County precedent, etc. In doing so, refer to Comprehensive Plan for policy guidance regarding interpretation of any ambiguous Development Code provisions (see, BCC 50.015,) and Review the Planning Commission comments made during its last review of Republic Services’ CUP application for context. Examples for consideration include:</w:t>
      </w:r>
    </w:p>
    <w:p w14:paraId="50071278" w14:textId="77777777" w:rsidR="008E11EB" w:rsidRPr="00BF7E3F" w:rsidRDefault="008E11EB" w:rsidP="008E11EB">
      <w:pPr>
        <w:numPr>
          <w:ilvl w:val="1"/>
          <w:numId w:val="15"/>
        </w:numPr>
        <w:rPr>
          <w:b/>
          <w:bCs/>
          <w:i/>
          <w:iCs/>
        </w:rPr>
      </w:pPr>
      <w:r w:rsidRPr="00BF7E3F">
        <w:rPr>
          <w:b/>
          <w:bCs/>
          <w:i/>
          <w:iCs/>
        </w:rPr>
        <w:t>The phrase, “Other information as required by the Planning Official” 77.310(e)</w:t>
      </w:r>
    </w:p>
    <w:p w14:paraId="3A5C6B32" w14:textId="77777777" w:rsidR="008E11EB" w:rsidRPr="00BF7E3F" w:rsidRDefault="008E11EB" w:rsidP="008E11EB">
      <w:pPr>
        <w:numPr>
          <w:ilvl w:val="1"/>
          <w:numId w:val="15"/>
        </w:numPr>
        <w:rPr>
          <w:b/>
          <w:bCs/>
          <w:i/>
          <w:iCs/>
        </w:rPr>
      </w:pPr>
      <w:r w:rsidRPr="00BF7E3F">
        <w:rPr>
          <w:b/>
          <w:bCs/>
          <w:i/>
          <w:iCs/>
        </w:rPr>
        <w:t>The terms found in Section 53.215, e.g.</w:t>
      </w:r>
    </w:p>
    <w:p w14:paraId="068942B2" w14:textId="77777777" w:rsidR="008E11EB" w:rsidRPr="00BF7E3F" w:rsidRDefault="008E11EB" w:rsidP="008E11EB">
      <w:pPr>
        <w:numPr>
          <w:ilvl w:val="1"/>
          <w:numId w:val="15"/>
        </w:numPr>
        <w:rPr>
          <w:b/>
          <w:bCs/>
          <w:i/>
          <w:iCs/>
        </w:rPr>
      </w:pPr>
      <w:r w:rsidRPr="00BF7E3F">
        <w:rPr>
          <w:b/>
          <w:bCs/>
          <w:i/>
          <w:iCs/>
        </w:rPr>
        <w:t>“seriously interfere”</w:t>
      </w:r>
    </w:p>
    <w:p w14:paraId="5AD05EDC" w14:textId="77777777" w:rsidR="008E11EB" w:rsidRPr="00BF7E3F" w:rsidRDefault="008E11EB" w:rsidP="008E11EB">
      <w:pPr>
        <w:numPr>
          <w:ilvl w:val="1"/>
          <w:numId w:val="15"/>
        </w:numPr>
        <w:rPr>
          <w:b/>
          <w:bCs/>
          <w:i/>
          <w:iCs/>
        </w:rPr>
      </w:pPr>
      <w:r w:rsidRPr="00BF7E3F">
        <w:rPr>
          <w:b/>
          <w:bCs/>
          <w:i/>
          <w:iCs/>
        </w:rPr>
        <w:t>“character of the area”</w:t>
      </w:r>
    </w:p>
    <w:p w14:paraId="06D4009B" w14:textId="77777777" w:rsidR="008E11EB" w:rsidRPr="00BF7E3F" w:rsidRDefault="008E11EB" w:rsidP="008E11EB">
      <w:pPr>
        <w:numPr>
          <w:ilvl w:val="1"/>
          <w:numId w:val="15"/>
        </w:numPr>
        <w:rPr>
          <w:b/>
          <w:bCs/>
          <w:i/>
          <w:iCs/>
        </w:rPr>
      </w:pPr>
      <w:r w:rsidRPr="00BF7E3F">
        <w:rPr>
          <w:b/>
          <w:bCs/>
          <w:i/>
          <w:iCs/>
        </w:rPr>
        <w:t>“purpose of the zone”</w:t>
      </w:r>
    </w:p>
    <w:p w14:paraId="0E27F641" w14:textId="77777777" w:rsidR="008E11EB" w:rsidRPr="00BF7E3F" w:rsidRDefault="008E11EB" w:rsidP="008E11EB">
      <w:pPr>
        <w:numPr>
          <w:ilvl w:val="1"/>
          <w:numId w:val="15"/>
        </w:numPr>
        <w:rPr>
          <w:b/>
          <w:bCs/>
          <w:i/>
          <w:iCs/>
        </w:rPr>
      </w:pPr>
      <w:r w:rsidRPr="00BF7E3F">
        <w:rPr>
          <w:b/>
          <w:bCs/>
          <w:i/>
          <w:iCs/>
        </w:rPr>
        <w:t>“undue burden”</w:t>
      </w:r>
    </w:p>
    <w:p w14:paraId="2E1EDB14" w14:textId="77777777" w:rsidR="008E11EB" w:rsidRPr="00BF7E3F" w:rsidRDefault="008E11EB" w:rsidP="008E11EB">
      <w:pPr>
        <w:numPr>
          <w:ilvl w:val="1"/>
          <w:numId w:val="15"/>
        </w:numPr>
        <w:rPr>
          <w:b/>
          <w:bCs/>
          <w:i/>
          <w:iCs/>
        </w:rPr>
      </w:pPr>
      <w:r w:rsidRPr="00BF7E3F">
        <w:rPr>
          <w:b/>
          <w:bCs/>
          <w:i/>
          <w:iCs/>
        </w:rPr>
        <w:t>“any additional criteria which may be required for the specific use by this code.</w:t>
      </w:r>
    </w:p>
    <w:p w14:paraId="70C76255" w14:textId="77777777" w:rsidR="008E11EB" w:rsidRPr="00BF7E3F" w:rsidRDefault="008E11EB" w:rsidP="008E11EB">
      <w:pPr>
        <w:numPr>
          <w:ilvl w:val="1"/>
          <w:numId w:val="15"/>
        </w:numPr>
        <w:rPr>
          <w:b/>
          <w:bCs/>
          <w:i/>
          <w:iCs/>
        </w:rPr>
      </w:pPr>
      <w:r w:rsidRPr="00BF7E3F">
        <w:rPr>
          <w:b/>
          <w:bCs/>
          <w:i/>
          <w:iCs/>
        </w:rPr>
        <w:t>Other: ____________</w:t>
      </w:r>
    </w:p>
    <w:p w14:paraId="2C144F71" w14:textId="77777777" w:rsidR="008E11EB" w:rsidRPr="00BF7E3F" w:rsidRDefault="008E11EB" w:rsidP="008E11EB">
      <w:pPr>
        <w:numPr>
          <w:ilvl w:val="0"/>
          <w:numId w:val="15"/>
        </w:numPr>
        <w:rPr>
          <w:b/>
          <w:bCs/>
          <w:i/>
          <w:iCs/>
        </w:rPr>
      </w:pPr>
      <w:bookmarkStart w:id="0" w:name="_Hlk118377252"/>
      <w:r w:rsidRPr="00BF7E3F">
        <w:rPr>
          <w:b/>
          <w:bCs/>
          <w:i/>
          <w:iCs/>
        </w:rPr>
        <w:t>Develop protocols for the timely and broad distribution of CUP-related information to the public, other governmental entities, and internal committees, groups, and divisions.</w:t>
      </w:r>
    </w:p>
    <w:bookmarkEnd w:id="0"/>
    <w:p w14:paraId="11A524DF" w14:textId="6A7FD1A8" w:rsidR="001C5EB7" w:rsidRPr="001C5EB7" w:rsidRDefault="001C5EB7" w:rsidP="00F071F7">
      <w:pPr>
        <w:pStyle w:val="NormalWeb"/>
        <w:rPr>
          <w:rFonts w:ascii="Calibri" w:hAnsi="Calibri" w:cs="Calibri"/>
          <w:b/>
          <w:bCs/>
          <w:sz w:val="28"/>
          <w:szCs w:val="28"/>
        </w:rPr>
      </w:pPr>
      <w:r w:rsidRPr="001C5EB7">
        <w:rPr>
          <w:rFonts w:ascii="Calibri" w:hAnsi="Calibri" w:cs="Calibri"/>
          <w:b/>
          <w:bCs/>
          <w:sz w:val="28"/>
          <w:szCs w:val="28"/>
        </w:rPr>
        <w:t>Members</w:t>
      </w:r>
    </w:p>
    <w:tbl>
      <w:tblPr>
        <w:tblStyle w:val="TableGrid"/>
        <w:tblW w:w="0" w:type="auto"/>
        <w:tblLook w:val="04A0" w:firstRow="1" w:lastRow="0" w:firstColumn="1" w:lastColumn="0" w:noHBand="0" w:noVBand="1"/>
      </w:tblPr>
      <w:tblGrid>
        <w:gridCol w:w="2785"/>
      </w:tblGrid>
      <w:tr w:rsidR="001C5EB7" w14:paraId="76A34AF6" w14:textId="77777777" w:rsidTr="007E6E67">
        <w:tc>
          <w:tcPr>
            <w:tcW w:w="2785" w:type="dxa"/>
          </w:tcPr>
          <w:p w14:paraId="23D9D3E9" w14:textId="050C8DCD" w:rsidR="001C5EB7" w:rsidRPr="00C967D3" w:rsidRDefault="008E11EB" w:rsidP="00C967D3">
            <w:pPr>
              <w:pStyle w:val="NormalWeb"/>
              <w:rPr>
                <w:rFonts w:ascii="Calibri" w:hAnsi="Calibri" w:cs="Calibri"/>
                <w:b/>
                <w:bCs/>
              </w:rPr>
            </w:pPr>
            <w:r>
              <w:rPr>
                <w:rFonts w:ascii="Calibri" w:hAnsi="Calibri" w:cs="Calibri"/>
                <w:b/>
                <w:bCs/>
              </w:rPr>
              <w:t>Liz Irish</w:t>
            </w:r>
          </w:p>
        </w:tc>
      </w:tr>
      <w:tr w:rsidR="001C5EB7" w14:paraId="4CA2F8AF" w14:textId="77777777" w:rsidTr="007E6E67">
        <w:tc>
          <w:tcPr>
            <w:tcW w:w="2785" w:type="dxa"/>
          </w:tcPr>
          <w:p w14:paraId="717FBDD8" w14:textId="37F24073" w:rsidR="001C5EB7" w:rsidRDefault="008E11EB" w:rsidP="00C967D3">
            <w:pPr>
              <w:pStyle w:val="NormalWeb"/>
              <w:rPr>
                <w:rFonts w:ascii="Calibri" w:hAnsi="Calibri" w:cs="Calibri"/>
                <w:b/>
                <w:bCs/>
              </w:rPr>
            </w:pPr>
            <w:r>
              <w:rPr>
                <w:rFonts w:ascii="Calibri" w:hAnsi="Calibri" w:cs="Calibri"/>
                <w:b/>
                <w:bCs/>
              </w:rPr>
              <w:t>Jeff Condit</w:t>
            </w:r>
          </w:p>
        </w:tc>
      </w:tr>
      <w:tr w:rsidR="001C5EB7" w14:paraId="4CD3B4A9" w14:textId="77777777" w:rsidTr="007E6E67">
        <w:tc>
          <w:tcPr>
            <w:tcW w:w="2785" w:type="dxa"/>
          </w:tcPr>
          <w:p w14:paraId="232B3D19" w14:textId="39885DE9" w:rsidR="001C5EB7" w:rsidRDefault="008E11EB" w:rsidP="00F071F7">
            <w:pPr>
              <w:pStyle w:val="NormalWeb"/>
              <w:rPr>
                <w:rFonts w:ascii="Calibri" w:hAnsi="Calibri" w:cs="Calibri"/>
                <w:b/>
                <w:bCs/>
              </w:rPr>
            </w:pPr>
            <w:r>
              <w:rPr>
                <w:rFonts w:ascii="Calibri" w:hAnsi="Calibri" w:cs="Calibri"/>
                <w:b/>
                <w:bCs/>
              </w:rPr>
              <w:t>Vance Croney</w:t>
            </w:r>
          </w:p>
        </w:tc>
      </w:tr>
      <w:tr w:rsidR="001C5EB7" w14:paraId="1141A741" w14:textId="77777777" w:rsidTr="007E6E67">
        <w:tc>
          <w:tcPr>
            <w:tcW w:w="2785" w:type="dxa"/>
          </w:tcPr>
          <w:p w14:paraId="418E7595" w14:textId="5310567A" w:rsidR="001C5EB7" w:rsidRDefault="001C5EB7" w:rsidP="00F071F7">
            <w:pPr>
              <w:pStyle w:val="NormalWeb"/>
              <w:rPr>
                <w:rFonts w:ascii="Calibri" w:hAnsi="Calibri" w:cs="Calibri"/>
                <w:b/>
                <w:bCs/>
              </w:rPr>
            </w:pPr>
            <w:r>
              <w:rPr>
                <w:rFonts w:ascii="Calibri" w:hAnsi="Calibri" w:cs="Calibri"/>
                <w:b/>
                <w:bCs/>
              </w:rPr>
              <w:t xml:space="preserve">Staff: </w:t>
            </w:r>
            <w:r w:rsidR="008E11EB">
              <w:rPr>
                <w:rFonts w:ascii="Calibri" w:hAnsi="Calibri" w:cs="Calibri"/>
                <w:b/>
                <w:bCs/>
              </w:rPr>
              <w:t>Greg Verret</w:t>
            </w:r>
          </w:p>
        </w:tc>
      </w:tr>
      <w:tr w:rsidR="007E6E67" w14:paraId="4166F818" w14:textId="77777777" w:rsidTr="007E6E67">
        <w:tc>
          <w:tcPr>
            <w:tcW w:w="2785" w:type="dxa"/>
          </w:tcPr>
          <w:p w14:paraId="3880D48D" w14:textId="7666D79D" w:rsidR="007E6E67" w:rsidRDefault="007E6E67" w:rsidP="00F071F7">
            <w:pPr>
              <w:pStyle w:val="NormalWeb"/>
              <w:rPr>
                <w:rFonts w:ascii="Calibri" w:hAnsi="Calibri" w:cs="Calibri"/>
                <w:b/>
                <w:bCs/>
              </w:rPr>
            </w:pPr>
            <w:r>
              <w:rPr>
                <w:rFonts w:ascii="Calibri" w:hAnsi="Calibri" w:cs="Calibri"/>
                <w:b/>
                <w:bCs/>
              </w:rPr>
              <w:t>Facilitator: Sam Imperati</w:t>
            </w:r>
          </w:p>
        </w:tc>
      </w:tr>
    </w:tbl>
    <w:p w14:paraId="544BA6BA" w14:textId="4D94F6E5" w:rsidR="00197AC6" w:rsidRPr="004D72C3" w:rsidRDefault="00F071F7" w:rsidP="00F071F7">
      <w:pPr>
        <w:pStyle w:val="NormalWeb"/>
        <w:rPr>
          <w:rFonts w:ascii="Calibri" w:hAnsi="Calibri" w:cs="Calibri"/>
          <w:b/>
          <w:bCs/>
          <w:color w:val="0070C0"/>
          <w:sz w:val="32"/>
          <w:szCs w:val="32"/>
        </w:rPr>
      </w:pPr>
      <w:r w:rsidRPr="004D72C3">
        <w:rPr>
          <w:rFonts w:ascii="Calibri" w:hAnsi="Calibri" w:cs="Calibri"/>
          <w:b/>
          <w:bCs/>
          <w:color w:val="0070C0"/>
          <w:sz w:val="32"/>
          <w:szCs w:val="32"/>
        </w:rPr>
        <w:t>Meeting #1 Report to BCTT Work Group</w:t>
      </w:r>
      <w:r w:rsidR="00BA4D8B" w:rsidRPr="004D72C3">
        <w:rPr>
          <w:rFonts w:ascii="Calibri" w:hAnsi="Calibri" w:cs="Calibri"/>
          <w:b/>
          <w:bCs/>
          <w:color w:val="0070C0"/>
          <w:sz w:val="32"/>
          <w:szCs w:val="32"/>
        </w:rPr>
        <w:t xml:space="preserve"> DRAFT – 10/27/22</w:t>
      </w:r>
    </w:p>
    <w:p w14:paraId="020B6D51" w14:textId="3F0ACF95" w:rsidR="007E6E67" w:rsidRDefault="007E6E67" w:rsidP="00197AC6">
      <w:pPr>
        <w:pStyle w:val="Heading1"/>
        <w:rPr>
          <w:rFonts w:asciiTheme="minorHAnsi" w:hAnsiTheme="minorHAnsi" w:cstheme="minorHAnsi"/>
          <w:b/>
          <w:bCs/>
          <w:color w:val="auto"/>
          <w:sz w:val="28"/>
          <w:szCs w:val="28"/>
        </w:rPr>
      </w:pPr>
      <w:r w:rsidRPr="004D72C3">
        <w:rPr>
          <w:rFonts w:asciiTheme="minorHAnsi" w:hAnsiTheme="minorHAnsi" w:cstheme="minorHAnsi"/>
          <w:b/>
          <w:bCs/>
          <w:color w:val="auto"/>
          <w:sz w:val="28"/>
          <w:szCs w:val="28"/>
        </w:rPr>
        <w:t>Attendance</w:t>
      </w:r>
    </w:p>
    <w:p w14:paraId="1CCA6A7C" w14:textId="77777777" w:rsidR="004D72C3" w:rsidRPr="004D72C3" w:rsidRDefault="004D72C3" w:rsidP="004D72C3"/>
    <w:tbl>
      <w:tblPr>
        <w:tblStyle w:val="TableGrid"/>
        <w:tblW w:w="0" w:type="auto"/>
        <w:jc w:val="center"/>
        <w:tblLook w:val="04A0" w:firstRow="1" w:lastRow="0" w:firstColumn="1" w:lastColumn="0" w:noHBand="0" w:noVBand="1"/>
      </w:tblPr>
      <w:tblGrid>
        <w:gridCol w:w="2695"/>
        <w:gridCol w:w="1350"/>
      </w:tblGrid>
      <w:tr w:rsidR="004D72C3" w14:paraId="787EFD22" w14:textId="77777777" w:rsidTr="004D72C3">
        <w:trPr>
          <w:jc w:val="center"/>
        </w:trPr>
        <w:tc>
          <w:tcPr>
            <w:tcW w:w="2695" w:type="dxa"/>
          </w:tcPr>
          <w:p w14:paraId="7C4D687B" w14:textId="370BD34F" w:rsidR="004D72C3" w:rsidRPr="00C967D3" w:rsidRDefault="004D72C3" w:rsidP="004D72C3">
            <w:pPr>
              <w:pStyle w:val="NormalWeb"/>
              <w:jc w:val="center"/>
              <w:rPr>
                <w:rFonts w:ascii="Calibri" w:hAnsi="Calibri" w:cs="Calibri"/>
                <w:b/>
                <w:bCs/>
              </w:rPr>
            </w:pPr>
            <w:r>
              <w:rPr>
                <w:rFonts w:ascii="Calibri" w:hAnsi="Calibri" w:cs="Calibri"/>
                <w:b/>
                <w:bCs/>
              </w:rPr>
              <w:t>Member</w:t>
            </w:r>
          </w:p>
        </w:tc>
        <w:tc>
          <w:tcPr>
            <w:tcW w:w="1350" w:type="dxa"/>
          </w:tcPr>
          <w:p w14:paraId="40AE444C" w14:textId="672CC336" w:rsidR="004D72C3" w:rsidRPr="00C967D3" w:rsidRDefault="004D72C3" w:rsidP="004D72C3">
            <w:pPr>
              <w:pStyle w:val="NormalWeb"/>
              <w:jc w:val="center"/>
              <w:rPr>
                <w:rFonts w:ascii="Calibri" w:hAnsi="Calibri" w:cs="Calibri"/>
                <w:b/>
                <w:bCs/>
              </w:rPr>
            </w:pPr>
            <w:r>
              <w:rPr>
                <w:rFonts w:ascii="Calibri" w:hAnsi="Calibri" w:cs="Calibri"/>
                <w:b/>
                <w:bCs/>
              </w:rPr>
              <w:t>Present</w:t>
            </w:r>
          </w:p>
        </w:tc>
      </w:tr>
      <w:tr w:rsidR="008E11EB" w14:paraId="0C41790D" w14:textId="3BA5A709" w:rsidTr="004D72C3">
        <w:trPr>
          <w:jc w:val="center"/>
        </w:trPr>
        <w:tc>
          <w:tcPr>
            <w:tcW w:w="2695" w:type="dxa"/>
          </w:tcPr>
          <w:p w14:paraId="4C239615" w14:textId="2727558F" w:rsidR="008E11EB" w:rsidRPr="00C967D3" w:rsidRDefault="008E11EB" w:rsidP="008E11EB">
            <w:pPr>
              <w:pStyle w:val="NormalWeb"/>
              <w:rPr>
                <w:rFonts w:ascii="Calibri" w:hAnsi="Calibri" w:cs="Calibri"/>
                <w:b/>
                <w:bCs/>
              </w:rPr>
            </w:pPr>
            <w:r>
              <w:rPr>
                <w:rFonts w:ascii="Calibri" w:hAnsi="Calibri" w:cs="Calibri"/>
                <w:b/>
                <w:bCs/>
              </w:rPr>
              <w:t>Liz Irish</w:t>
            </w:r>
          </w:p>
        </w:tc>
        <w:tc>
          <w:tcPr>
            <w:tcW w:w="1350" w:type="dxa"/>
          </w:tcPr>
          <w:p w14:paraId="5D05C814" w14:textId="1CDEE250" w:rsidR="008E11EB" w:rsidRPr="00C967D3" w:rsidRDefault="008E11EB" w:rsidP="008E11EB">
            <w:pPr>
              <w:pStyle w:val="NormalWeb"/>
              <w:jc w:val="center"/>
              <w:rPr>
                <w:rFonts w:ascii="Calibri" w:hAnsi="Calibri" w:cs="Calibri"/>
                <w:b/>
                <w:bCs/>
              </w:rPr>
            </w:pPr>
            <w:r>
              <w:rPr>
                <w:rFonts w:ascii="Calibri" w:hAnsi="Calibri" w:cs="Calibri"/>
                <w:b/>
                <w:bCs/>
              </w:rPr>
              <w:t>X</w:t>
            </w:r>
          </w:p>
        </w:tc>
      </w:tr>
      <w:tr w:rsidR="008E11EB" w14:paraId="592F408B" w14:textId="41D98FDE" w:rsidTr="004D72C3">
        <w:trPr>
          <w:jc w:val="center"/>
        </w:trPr>
        <w:tc>
          <w:tcPr>
            <w:tcW w:w="2695" w:type="dxa"/>
          </w:tcPr>
          <w:p w14:paraId="46CD9DE5" w14:textId="3A4B1E6D" w:rsidR="008E11EB" w:rsidRDefault="008E11EB" w:rsidP="008E11EB">
            <w:pPr>
              <w:pStyle w:val="NormalWeb"/>
              <w:rPr>
                <w:rFonts w:ascii="Calibri" w:hAnsi="Calibri" w:cs="Calibri"/>
                <w:b/>
                <w:bCs/>
              </w:rPr>
            </w:pPr>
            <w:r>
              <w:rPr>
                <w:rFonts w:ascii="Calibri" w:hAnsi="Calibri" w:cs="Calibri"/>
                <w:b/>
                <w:bCs/>
              </w:rPr>
              <w:t>Jeff Condit</w:t>
            </w:r>
          </w:p>
        </w:tc>
        <w:tc>
          <w:tcPr>
            <w:tcW w:w="1350" w:type="dxa"/>
          </w:tcPr>
          <w:p w14:paraId="52710101" w14:textId="2D9CCCDD" w:rsidR="008E11EB" w:rsidRPr="00C967D3" w:rsidRDefault="008E11EB" w:rsidP="008E11EB">
            <w:pPr>
              <w:pStyle w:val="NormalWeb"/>
              <w:jc w:val="center"/>
              <w:rPr>
                <w:rFonts w:ascii="Calibri" w:hAnsi="Calibri" w:cs="Calibri"/>
                <w:b/>
                <w:bCs/>
              </w:rPr>
            </w:pPr>
            <w:r>
              <w:rPr>
                <w:rFonts w:ascii="Calibri" w:hAnsi="Calibri" w:cs="Calibri"/>
                <w:b/>
                <w:bCs/>
              </w:rPr>
              <w:t>X</w:t>
            </w:r>
          </w:p>
        </w:tc>
      </w:tr>
      <w:tr w:rsidR="008E11EB" w14:paraId="1F3562E6" w14:textId="54405688" w:rsidTr="004D72C3">
        <w:trPr>
          <w:jc w:val="center"/>
        </w:trPr>
        <w:tc>
          <w:tcPr>
            <w:tcW w:w="2695" w:type="dxa"/>
          </w:tcPr>
          <w:p w14:paraId="04CBF2FC" w14:textId="63AA5430" w:rsidR="008E11EB" w:rsidRDefault="008E11EB" w:rsidP="008E11EB">
            <w:pPr>
              <w:pStyle w:val="NormalWeb"/>
              <w:rPr>
                <w:rFonts w:ascii="Calibri" w:hAnsi="Calibri" w:cs="Calibri"/>
                <w:b/>
                <w:bCs/>
              </w:rPr>
            </w:pPr>
            <w:r>
              <w:rPr>
                <w:rFonts w:ascii="Calibri" w:hAnsi="Calibri" w:cs="Calibri"/>
                <w:b/>
                <w:bCs/>
              </w:rPr>
              <w:lastRenderedPageBreak/>
              <w:t>Vance Croney</w:t>
            </w:r>
          </w:p>
        </w:tc>
        <w:tc>
          <w:tcPr>
            <w:tcW w:w="1350" w:type="dxa"/>
          </w:tcPr>
          <w:p w14:paraId="43449113" w14:textId="0D60E273" w:rsidR="008E11EB" w:rsidRPr="00C967D3" w:rsidRDefault="008E11EB" w:rsidP="00932A55">
            <w:pPr>
              <w:pStyle w:val="NormalWeb"/>
              <w:jc w:val="center"/>
              <w:rPr>
                <w:rFonts w:ascii="Calibri" w:hAnsi="Calibri" w:cs="Calibri"/>
                <w:b/>
                <w:bCs/>
              </w:rPr>
            </w:pPr>
            <w:r>
              <w:rPr>
                <w:rFonts w:ascii="Calibri" w:hAnsi="Calibri" w:cs="Calibri"/>
                <w:b/>
                <w:bCs/>
              </w:rPr>
              <w:t>X</w:t>
            </w:r>
          </w:p>
        </w:tc>
      </w:tr>
      <w:tr w:rsidR="008E11EB" w14:paraId="05B97FDB" w14:textId="387E4E6F" w:rsidTr="004D72C3">
        <w:trPr>
          <w:jc w:val="center"/>
        </w:trPr>
        <w:tc>
          <w:tcPr>
            <w:tcW w:w="2695" w:type="dxa"/>
          </w:tcPr>
          <w:p w14:paraId="5E1FD19E" w14:textId="1B4DBF9A" w:rsidR="008E11EB" w:rsidRPr="00C967D3" w:rsidRDefault="008E11EB" w:rsidP="008E11EB">
            <w:pPr>
              <w:pStyle w:val="NormalWeb"/>
              <w:rPr>
                <w:rFonts w:ascii="Calibri" w:hAnsi="Calibri" w:cs="Calibri"/>
                <w:b/>
                <w:bCs/>
              </w:rPr>
            </w:pPr>
            <w:r>
              <w:rPr>
                <w:rFonts w:ascii="Calibri" w:hAnsi="Calibri" w:cs="Calibri"/>
                <w:b/>
                <w:bCs/>
              </w:rPr>
              <w:t>Staff: Greg Verret</w:t>
            </w:r>
          </w:p>
        </w:tc>
        <w:tc>
          <w:tcPr>
            <w:tcW w:w="1350" w:type="dxa"/>
          </w:tcPr>
          <w:p w14:paraId="6093CB91" w14:textId="4F321ADC" w:rsidR="008E11EB" w:rsidRPr="00C967D3" w:rsidRDefault="00932A55" w:rsidP="008E11EB">
            <w:pPr>
              <w:pStyle w:val="NormalWeb"/>
              <w:jc w:val="center"/>
              <w:rPr>
                <w:rFonts w:ascii="Calibri" w:hAnsi="Calibri" w:cs="Calibri"/>
                <w:b/>
                <w:bCs/>
              </w:rPr>
            </w:pPr>
            <w:r>
              <w:rPr>
                <w:rFonts w:ascii="Calibri" w:hAnsi="Calibri" w:cs="Calibri"/>
                <w:b/>
                <w:bCs/>
              </w:rPr>
              <w:t>X</w:t>
            </w:r>
          </w:p>
        </w:tc>
      </w:tr>
      <w:tr w:rsidR="008E11EB" w14:paraId="6E66F6D2" w14:textId="20F57250" w:rsidTr="004D72C3">
        <w:trPr>
          <w:jc w:val="center"/>
        </w:trPr>
        <w:tc>
          <w:tcPr>
            <w:tcW w:w="2695" w:type="dxa"/>
          </w:tcPr>
          <w:p w14:paraId="386AA5CA" w14:textId="1DF38010" w:rsidR="008E11EB" w:rsidRPr="00C967D3" w:rsidRDefault="008E11EB" w:rsidP="008E11EB">
            <w:pPr>
              <w:pStyle w:val="NormalWeb"/>
              <w:rPr>
                <w:rFonts w:ascii="Calibri" w:hAnsi="Calibri" w:cs="Calibri"/>
                <w:b/>
                <w:bCs/>
              </w:rPr>
            </w:pPr>
            <w:r>
              <w:rPr>
                <w:rFonts w:ascii="Calibri" w:hAnsi="Calibri" w:cs="Calibri"/>
                <w:b/>
                <w:bCs/>
              </w:rPr>
              <w:t>Facilitator: Sam Imperati</w:t>
            </w:r>
          </w:p>
        </w:tc>
        <w:tc>
          <w:tcPr>
            <w:tcW w:w="1350" w:type="dxa"/>
          </w:tcPr>
          <w:p w14:paraId="032F2B7A" w14:textId="503D543F" w:rsidR="008E11EB" w:rsidRDefault="00932A55" w:rsidP="008E11EB">
            <w:pPr>
              <w:pStyle w:val="NormalWeb"/>
              <w:jc w:val="center"/>
              <w:rPr>
                <w:rFonts w:ascii="Calibri" w:hAnsi="Calibri" w:cs="Calibri"/>
                <w:b/>
                <w:bCs/>
              </w:rPr>
            </w:pPr>
            <w:r>
              <w:rPr>
                <w:rFonts w:ascii="Calibri" w:hAnsi="Calibri" w:cs="Calibri"/>
                <w:b/>
                <w:bCs/>
              </w:rPr>
              <w:t>X</w:t>
            </w:r>
          </w:p>
        </w:tc>
      </w:tr>
      <w:tr w:rsidR="008E11EB" w14:paraId="5903FA3F" w14:textId="371FE09A" w:rsidTr="004D72C3">
        <w:trPr>
          <w:jc w:val="center"/>
        </w:trPr>
        <w:tc>
          <w:tcPr>
            <w:tcW w:w="2695" w:type="dxa"/>
          </w:tcPr>
          <w:p w14:paraId="26886128" w14:textId="5A8EB138" w:rsidR="008E11EB" w:rsidRDefault="008E11EB" w:rsidP="008E11EB">
            <w:pPr>
              <w:pStyle w:val="NormalWeb"/>
              <w:rPr>
                <w:rFonts w:ascii="Calibri" w:hAnsi="Calibri" w:cs="Calibri"/>
                <w:b/>
                <w:bCs/>
              </w:rPr>
            </w:pPr>
            <w:r>
              <w:rPr>
                <w:rFonts w:ascii="Calibri" w:hAnsi="Calibri" w:cs="Calibri"/>
                <w:b/>
                <w:bCs/>
              </w:rPr>
              <w:t>Observers:</w:t>
            </w:r>
          </w:p>
        </w:tc>
        <w:tc>
          <w:tcPr>
            <w:tcW w:w="1350" w:type="dxa"/>
          </w:tcPr>
          <w:p w14:paraId="5CF83CD9" w14:textId="77777777" w:rsidR="008E11EB" w:rsidRDefault="008E11EB" w:rsidP="008E11EB">
            <w:pPr>
              <w:pStyle w:val="NormalWeb"/>
              <w:jc w:val="center"/>
              <w:rPr>
                <w:rFonts w:ascii="Calibri" w:hAnsi="Calibri" w:cs="Calibri"/>
                <w:b/>
                <w:bCs/>
              </w:rPr>
            </w:pPr>
          </w:p>
        </w:tc>
      </w:tr>
      <w:tr w:rsidR="008E11EB" w14:paraId="2B57750E" w14:textId="3A4346EB" w:rsidTr="004D72C3">
        <w:trPr>
          <w:jc w:val="center"/>
        </w:trPr>
        <w:tc>
          <w:tcPr>
            <w:tcW w:w="2695" w:type="dxa"/>
          </w:tcPr>
          <w:p w14:paraId="1B1FBB0C" w14:textId="0D6A2FD8" w:rsidR="008E11EB" w:rsidRDefault="00932A55" w:rsidP="008E11EB">
            <w:pPr>
              <w:pStyle w:val="NormalWeb"/>
              <w:rPr>
                <w:rFonts w:ascii="Calibri" w:hAnsi="Calibri" w:cs="Calibri"/>
                <w:b/>
                <w:bCs/>
              </w:rPr>
            </w:pPr>
            <w:r>
              <w:rPr>
                <w:rFonts w:ascii="Calibri" w:hAnsi="Calibri" w:cs="Calibri"/>
                <w:b/>
                <w:bCs/>
              </w:rPr>
              <w:t>Marge Popp</w:t>
            </w:r>
          </w:p>
        </w:tc>
        <w:tc>
          <w:tcPr>
            <w:tcW w:w="1350" w:type="dxa"/>
          </w:tcPr>
          <w:p w14:paraId="42048967" w14:textId="5EE68597" w:rsidR="008E11EB" w:rsidRDefault="008E11EB" w:rsidP="008E11EB">
            <w:pPr>
              <w:pStyle w:val="NormalWeb"/>
              <w:jc w:val="center"/>
              <w:rPr>
                <w:rFonts w:ascii="Calibri" w:hAnsi="Calibri" w:cs="Calibri"/>
                <w:b/>
                <w:bCs/>
              </w:rPr>
            </w:pPr>
            <w:r>
              <w:rPr>
                <w:rFonts w:ascii="Calibri" w:hAnsi="Calibri" w:cs="Calibri"/>
                <w:b/>
                <w:bCs/>
              </w:rPr>
              <w:t>X</w:t>
            </w:r>
          </w:p>
        </w:tc>
      </w:tr>
      <w:tr w:rsidR="008E11EB" w14:paraId="7199969B" w14:textId="4317FAB3" w:rsidTr="004D72C3">
        <w:trPr>
          <w:jc w:val="center"/>
        </w:trPr>
        <w:tc>
          <w:tcPr>
            <w:tcW w:w="2695" w:type="dxa"/>
          </w:tcPr>
          <w:p w14:paraId="0ACCE5D3" w14:textId="2B3B8BFC" w:rsidR="008E11EB" w:rsidRDefault="00932A55" w:rsidP="008E11EB">
            <w:pPr>
              <w:pStyle w:val="NormalWeb"/>
              <w:rPr>
                <w:rFonts w:ascii="Calibri" w:hAnsi="Calibri" w:cs="Calibri"/>
                <w:b/>
                <w:bCs/>
              </w:rPr>
            </w:pPr>
            <w:r>
              <w:rPr>
                <w:rFonts w:ascii="Calibri" w:hAnsi="Calibri" w:cs="Calibri"/>
                <w:b/>
                <w:bCs/>
              </w:rPr>
              <w:t>Holly Doyle</w:t>
            </w:r>
          </w:p>
        </w:tc>
        <w:tc>
          <w:tcPr>
            <w:tcW w:w="1350" w:type="dxa"/>
          </w:tcPr>
          <w:p w14:paraId="09F98D68" w14:textId="4C9FDCA1" w:rsidR="008E11EB" w:rsidRDefault="008E11EB" w:rsidP="008E11EB">
            <w:pPr>
              <w:pStyle w:val="NormalWeb"/>
              <w:jc w:val="center"/>
              <w:rPr>
                <w:rFonts w:ascii="Calibri" w:hAnsi="Calibri" w:cs="Calibri"/>
                <w:b/>
                <w:bCs/>
              </w:rPr>
            </w:pPr>
            <w:r>
              <w:rPr>
                <w:rFonts w:ascii="Calibri" w:hAnsi="Calibri" w:cs="Calibri"/>
                <w:b/>
                <w:bCs/>
              </w:rPr>
              <w:t>X</w:t>
            </w:r>
          </w:p>
        </w:tc>
      </w:tr>
      <w:tr w:rsidR="008E11EB" w14:paraId="7658C7B4" w14:textId="45B2833B" w:rsidTr="004D72C3">
        <w:trPr>
          <w:jc w:val="center"/>
        </w:trPr>
        <w:tc>
          <w:tcPr>
            <w:tcW w:w="2695" w:type="dxa"/>
          </w:tcPr>
          <w:p w14:paraId="574E6A81" w14:textId="5435CFE9" w:rsidR="008E11EB" w:rsidRDefault="00932A55" w:rsidP="008E11EB">
            <w:pPr>
              <w:pStyle w:val="NormalWeb"/>
              <w:rPr>
                <w:rFonts w:ascii="Calibri" w:hAnsi="Calibri" w:cs="Calibri"/>
                <w:b/>
                <w:bCs/>
              </w:rPr>
            </w:pPr>
            <w:r>
              <w:rPr>
                <w:rFonts w:ascii="Calibri" w:hAnsi="Calibri" w:cs="Calibri"/>
                <w:b/>
                <w:bCs/>
              </w:rPr>
              <w:t>Camille Hall</w:t>
            </w:r>
          </w:p>
        </w:tc>
        <w:tc>
          <w:tcPr>
            <w:tcW w:w="1350" w:type="dxa"/>
          </w:tcPr>
          <w:p w14:paraId="6C614DF7" w14:textId="2BDFE01C" w:rsidR="008E11EB" w:rsidRDefault="008E11EB" w:rsidP="008E11EB">
            <w:pPr>
              <w:pStyle w:val="NormalWeb"/>
              <w:jc w:val="center"/>
              <w:rPr>
                <w:rFonts w:ascii="Calibri" w:hAnsi="Calibri" w:cs="Calibri"/>
                <w:b/>
                <w:bCs/>
              </w:rPr>
            </w:pPr>
            <w:r>
              <w:rPr>
                <w:rFonts w:ascii="Calibri" w:hAnsi="Calibri" w:cs="Calibri"/>
                <w:b/>
                <w:bCs/>
              </w:rPr>
              <w:t>X</w:t>
            </w:r>
          </w:p>
        </w:tc>
      </w:tr>
      <w:tr w:rsidR="008E11EB" w14:paraId="78D85D3C" w14:textId="6BF8ED45" w:rsidTr="004D72C3">
        <w:trPr>
          <w:jc w:val="center"/>
        </w:trPr>
        <w:tc>
          <w:tcPr>
            <w:tcW w:w="2695" w:type="dxa"/>
          </w:tcPr>
          <w:p w14:paraId="54A92AB6" w14:textId="492D5DAB" w:rsidR="008E11EB" w:rsidRDefault="00932A55" w:rsidP="008E11EB">
            <w:pPr>
              <w:pStyle w:val="NormalWeb"/>
              <w:rPr>
                <w:rFonts w:ascii="Calibri" w:hAnsi="Calibri" w:cs="Calibri"/>
                <w:b/>
                <w:bCs/>
              </w:rPr>
            </w:pPr>
            <w:r>
              <w:rPr>
                <w:rFonts w:ascii="Calibri" w:hAnsi="Calibri" w:cs="Calibri"/>
                <w:b/>
                <w:bCs/>
              </w:rPr>
              <w:t>Pam Vaughan</w:t>
            </w:r>
          </w:p>
        </w:tc>
        <w:tc>
          <w:tcPr>
            <w:tcW w:w="1350" w:type="dxa"/>
          </w:tcPr>
          <w:p w14:paraId="47B369AD" w14:textId="46A560EC" w:rsidR="008E11EB" w:rsidRDefault="008E11EB" w:rsidP="008E11EB">
            <w:pPr>
              <w:pStyle w:val="NormalWeb"/>
              <w:jc w:val="center"/>
              <w:rPr>
                <w:rFonts w:ascii="Calibri" w:hAnsi="Calibri" w:cs="Calibri"/>
                <w:b/>
                <w:bCs/>
              </w:rPr>
            </w:pPr>
            <w:r>
              <w:rPr>
                <w:rFonts w:ascii="Calibri" w:hAnsi="Calibri" w:cs="Calibri"/>
                <w:b/>
                <w:bCs/>
              </w:rPr>
              <w:t>X</w:t>
            </w:r>
          </w:p>
        </w:tc>
      </w:tr>
    </w:tbl>
    <w:p w14:paraId="01DAB20B" w14:textId="77777777" w:rsidR="007E6E67" w:rsidRDefault="007E6E67" w:rsidP="00197AC6">
      <w:pPr>
        <w:pStyle w:val="Heading1"/>
        <w:rPr>
          <w:rFonts w:asciiTheme="minorHAnsi" w:hAnsiTheme="minorHAnsi" w:cstheme="minorHAnsi"/>
          <w:color w:val="auto"/>
          <w:sz w:val="24"/>
          <w:szCs w:val="24"/>
        </w:rPr>
      </w:pPr>
    </w:p>
    <w:p w14:paraId="2D8C5BAF" w14:textId="33862520" w:rsidR="009D1CB4" w:rsidRPr="009D1CB4" w:rsidRDefault="009D1CB4" w:rsidP="009D1CB4">
      <w:pPr>
        <w:pStyle w:val="Heading1"/>
        <w:rPr>
          <w:rFonts w:eastAsia="Times New Roman" w:cstheme="minorHAnsi"/>
          <w:sz w:val="28"/>
          <w:szCs w:val="28"/>
        </w:rPr>
      </w:pPr>
      <w:r w:rsidRPr="009D1CB4">
        <w:rPr>
          <w:rFonts w:eastAsia="Times New Roman" w:cstheme="minorHAnsi"/>
          <w:b/>
          <w:bCs/>
          <w:sz w:val="28"/>
          <w:szCs w:val="28"/>
          <w:u w:val="single"/>
        </w:rPr>
        <w:t>Meeting #1: Oct 25, 2022</w:t>
      </w:r>
      <w:r w:rsidRPr="009D1CB4">
        <w:rPr>
          <w:rFonts w:eastAsia="Times New Roman" w:cstheme="minorHAnsi"/>
          <w:sz w:val="28"/>
          <w:szCs w:val="28"/>
        </w:rPr>
        <w:t xml:space="preserve"> 03:00 – 4:30 PM Pacific Time</w:t>
      </w:r>
      <w:r>
        <w:rPr>
          <w:rFonts w:eastAsia="Times New Roman" w:cstheme="minorHAnsi"/>
          <w:sz w:val="28"/>
          <w:szCs w:val="28"/>
        </w:rPr>
        <w:t xml:space="preserve">  </w:t>
      </w:r>
      <w:hyperlink r:id="rId7" w:tgtFrame="_blank" w:history="1">
        <w:r w:rsidRPr="009D1CB4">
          <w:rPr>
            <w:rStyle w:val="Hyperlink"/>
            <w:rFonts w:eastAsia="Times New Roman" w:cstheme="minorHAnsi"/>
            <w:sz w:val="28"/>
            <w:szCs w:val="28"/>
          </w:rPr>
          <w:t>Recording</w:t>
        </w:r>
      </w:hyperlink>
    </w:p>
    <w:p w14:paraId="48A227FF" w14:textId="5AECC59E" w:rsidR="00627EF2" w:rsidRDefault="00627EF2" w:rsidP="00627EF2">
      <w:pPr>
        <w:pStyle w:val="Body"/>
        <w:numPr>
          <w:ilvl w:val="0"/>
          <w:numId w:val="21"/>
        </w:numPr>
        <w:spacing w:line="240" w:lineRule="auto"/>
        <w:rPr>
          <w:rFonts w:ascii="Calibri" w:hAnsi="Calibri" w:cs="Calibri"/>
        </w:rPr>
      </w:pPr>
      <w:r>
        <w:rPr>
          <w:rFonts w:ascii="Calibri" w:hAnsi="Calibri" w:cs="Calibri"/>
        </w:rPr>
        <w:t>Document titled “</w:t>
      </w:r>
      <w:hyperlink r:id="rId8" w:history="1">
        <w:r w:rsidRPr="00627EF2">
          <w:rPr>
            <w:rStyle w:val="Hyperlink"/>
            <w:rFonts w:ascii="Calibri" w:hAnsi="Calibri" w:cs="Calibri"/>
          </w:rPr>
          <w:t>Legal Issues &amp; Land Use Review subcommittee - master working document</w:t>
        </w:r>
      </w:hyperlink>
      <w:r>
        <w:rPr>
          <w:rFonts w:ascii="Calibri" w:hAnsi="Calibri" w:cs="Calibri"/>
        </w:rPr>
        <w:t xml:space="preserve">” contains a compilation of work done to date on this topic, by staff and members of the BCTT Workgroup.  </w:t>
      </w:r>
    </w:p>
    <w:p w14:paraId="69A221FC" w14:textId="25065969" w:rsidR="00833E38" w:rsidRDefault="00627EF2" w:rsidP="00627EF2">
      <w:pPr>
        <w:pStyle w:val="Body"/>
        <w:numPr>
          <w:ilvl w:val="0"/>
          <w:numId w:val="21"/>
        </w:numPr>
        <w:spacing w:line="240" w:lineRule="auto"/>
        <w:rPr>
          <w:rFonts w:ascii="Calibri" w:hAnsi="Calibri" w:cs="Calibri"/>
        </w:rPr>
      </w:pPr>
      <w:r>
        <w:rPr>
          <w:rFonts w:ascii="Calibri" w:hAnsi="Calibri" w:cs="Calibri"/>
        </w:rPr>
        <w:t>Vance Croney and Jeff Condit had reviewed the documents generally but committed to closer review in certain areas, which are identified under Next Steps, below.</w:t>
      </w:r>
    </w:p>
    <w:p w14:paraId="0BFEB1FE" w14:textId="77777777" w:rsidR="00833E38" w:rsidRDefault="00833E38" w:rsidP="00627EF2">
      <w:pPr>
        <w:pStyle w:val="Body"/>
        <w:numPr>
          <w:ilvl w:val="0"/>
          <w:numId w:val="21"/>
        </w:numPr>
        <w:spacing w:line="240" w:lineRule="auto"/>
        <w:rPr>
          <w:rFonts w:ascii="Calibri" w:hAnsi="Calibri" w:cs="Calibri"/>
        </w:rPr>
      </w:pPr>
      <w:r>
        <w:rPr>
          <w:rFonts w:ascii="Calibri" w:hAnsi="Calibri" w:cs="Calibri"/>
        </w:rPr>
        <w:t>The current Republic Service agreements with the county had been worked on for 2.5 years. That agreement had been parsed and discussed at length in regards to rights and obligations.</w:t>
      </w:r>
    </w:p>
    <w:p w14:paraId="44FF10E6" w14:textId="77777777" w:rsidR="00833E38" w:rsidRDefault="00833E38" w:rsidP="00627EF2">
      <w:pPr>
        <w:pStyle w:val="Body"/>
        <w:numPr>
          <w:ilvl w:val="0"/>
          <w:numId w:val="21"/>
        </w:numPr>
        <w:spacing w:line="240" w:lineRule="auto"/>
        <w:rPr>
          <w:rFonts w:ascii="Calibri" w:hAnsi="Calibri" w:cs="Calibri"/>
        </w:rPr>
      </w:pPr>
      <w:r>
        <w:rPr>
          <w:rFonts w:ascii="Calibri" w:hAnsi="Calibri" w:cs="Calibri"/>
        </w:rPr>
        <w:t xml:space="preserve">Past franchise agreements are no longer relevant to the current franchise agreement.  All new agreements are all new.  There are no conditions carried over from previous agreements.    </w:t>
      </w:r>
    </w:p>
    <w:p w14:paraId="0838272B" w14:textId="61229141" w:rsidR="00833E38" w:rsidRDefault="00833E38" w:rsidP="00627EF2">
      <w:pPr>
        <w:pStyle w:val="Body"/>
        <w:numPr>
          <w:ilvl w:val="0"/>
          <w:numId w:val="21"/>
        </w:numPr>
        <w:spacing w:line="240" w:lineRule="auto"/>
        <w:rPr>
          <w:rFonts w:ascii="Calibri" w:hAnsi="Calibri" w:cs="Calibri"/>
        </w:rPr>
      </w:pPr>
      <w:r>
        <w:rPr>
          <w:rFonts w:ascii="Calibri" w:hAnsi="Calibri" w:cs="Calibri"/>
        </w:rPr>
        <w:t>Benton County</w:t>
      </w:r>
      <w:r w:rsidR="00ED2C6D">
        <w:rPr>
          <w:rFonts w:ascii="Calibri" w:hAnsi="Calibri" w:cs="Calibri"/>
        </w:rPr>
        <w:t xml:space="preserve"> does not actively monitor compliance with conditions of land use approvals, including at the landfill</w:t>
      </w:r>
      <w:r w:rsidR="00627EF2">
        <w:rPr>
          <w:rFonts w:ascii="Calibri" w:hAnsi="Calibri" w:cs="Calibri"/>
        </w:rPr>
        <w:t>.</w:t>
      </w:r>
    </w:p>
    <w:p w14:paraId="6D434767" w14:textId="2B223A04" w:rsidR="00833E38" w:rsidRDefault="00833E38" w:rsidP="00627EF2">
      <w:pPr>
        <w:pStyle w:val="Body"/>
        <w:numPr>
          <w:ilvl w:val="0"/>
          <w:numId w:val="21"/>
        </w:numPr>
        <w:spacing w:line="240" w:lineRule="auto"/>
        <w:rPr>
          <w:rFonts w:ascii="Calibri" w:hAnsi="Calibri" w:cs="Calibri"/>
        </w:rPr>
      </w:pPr>
      <w:r>
        <w:rPr>
          <w:rFonts w:ascii="Calibri" w:hAnsi="Calibri" w:cs="Calibri"/>
        </w:rPr>
        <w:t xml:space="preserve">Republic </w:t>
      </w:r>
      <w:r w:rsidR="00627EF2">
        <w:rPr>
          <w:rFonts w:ascii="Calibri" w:hAnsi="Calibri" w:cs="Calibri"/>
        </w:rPr>
        <w:t>S</w:t>
      </w:r>
      <w:r>
        <w:rPr>
          <w:rFonts w:ascii="Calibri" w:hAnsi="Calibri" w:cs="Calibri"/>
        </w:rPr>
        <w:t>ervice</w:t>
      </w:r>
      <w:r w:rsidR="00627EF2">
        <w:rPr>
          <w:rFonts w:ascii="Calibri" w:hAnsi="Calibri" w:cs="Calibri"/>
        </w:rPr>
        <w:t>s</w:t>
      </w:r>
      <w:r>
        <w:rPr>
          <w:rFonts w:ascii="Calibri" w:hAnsi="Calibri" w:cs="Calibri"/>
        </w:rPr>
        <w:t xml:space="preserve"> set</w:t>
      </w:r>
      <w:r w:rsidR="00627EF2">
        <w:rPr>
          <w:rFonts w:ascii="Calibri" w:hAnsi="Calibri" w:cs="Calibri"/>
        </w:rPr>
        <w:t>s</w:t>
      </w:r>
      <w:r>
        <w:rPr>
          <w:rFonts w:ascii="Calibri" w:hAnsi="Calibri" w:cs="Calibri"/>
        </w:rPr>
        <w:t xml:space="preserve"> responsibilit</w:t>
      </w:r>
      <w:r w:rsidR="00627EF2">
        <w:rPr>
          <w:rFonts w:ascii="Calibri" w:hAnsi="Calibri" w:cs="Calibri"/>
        </w:rPr>
        <w:t>y</w:t>
      </w:r>
      <w:r>
        <w:rPr>
          <w:rFonts w:ascii="Calibri" w:hAnsi="Calibri" w:cs="Calibri"/>
        </w:rPr>
        <w:t xml:space="preserve"> </w:t>
      </w:r>
      <w:r w:rsidR="00ED2C6D">
        <w:rPr>
          <w:rFonts w:ascii="Calibri" w:hAnsi="Calibri" w:cs="Calibri"/>
        </w:rPr>
        <w:t>for</w:t>
      </w:r>
      <w:r w:rsidR="00627EF2">
        <w:rPr>
          <w:rFonts w:ascii="Calibri" w:hAnsi="Calibri" w:cs="Calibri"/>
        </w:rPr>
        <w:t xml:space="preserve"> compliance with </w:t>
      </w:r>
      <w:r>
        <w:rPr>
          <w:rFonts w:ascii="Calibri" w:hAnsi="Calibri" w:cs="Calibri"/>
        </w:rPr>
        <w:t xml:space="preserve">conditions </w:t>
      </w:r>
      <w:r w:rsidR="00627EF2">
        <w:rPr>
          <w:rFonts w:ascii="Calibri" w:hAnsi="Calibri" w:cs="Calibri"/>
        </w:rPr>
        <w:t xml:space="preserve">of approval </w:t>
      </w:r>
      <w:r>
        <w:rPr>
          <w:rFonts w:ascii="Calibri" w:hAnsi="Calibri" w:cs="Calibri"/>
        </w:rPr>
        <w:t xml:space="preserve">on the </w:t>
      </w:r>
      <w:r w:rsidR="00627EF2">
        <w:rPr>
          <w:rFonts w:ascii="Calibri" w:hAnsi="Calibri" w:cs="Calibri"/>
        </w:rPr>
        <w:t>l</w:t>
      </w:r>
      <w:r>
        <w:rPr>
          <w:rFonts w:ascii="Calibri" w:hAnsi="Calibri" w:cs="Calibri"/>
        </w:rPr>
        <w:t xml:space="preserve">andfill manager. </w:t>
      </w:r>
    </w:p>
    <w:p w14:paraId="49172FC1" w14:textId="63CEC1C9" w:rsidR="00833E38" w:rsidRDefault="000231DA" w:rsidP="00627EF2">
      <w:pPr>
        <w:pStyle w:val="Body"/>
        <w:numPr>
          <w:ilvl w:val="0"/>
          <w:numId w:val="21"/>
        </w:numPr>
        <w:spacing w:line="240" w:lineRule="auto"/>
        <w:rPr>
          <w:rFonts w:ascii="Calibri" w:hAnsi="Calibri" w:cs="Calibri"/>
        </w:rPr>
      </w:pPr>
      <w:r>
        <w:rPr>
          <w:rFonts w:ascii="Calibri" w:hAnsi="Calibri" w:cs="Calibri"/>
        </w:rPr>
        <w:t>Vance</w:t>
      </w:r>
      <w:r w:rsidR="00833E38">
        <w:rPr>
          <w:rFonts w:ascii="Calibri" w:hAnsi="Calibri" w:cs="Calibri"/>
        </w:rPr>
        <w:t xml:space="preserve"> Croney confirmed that the County can not limit by conditional use or in any other way who brings trash to the landfill.  The only control they have would be a cap on total tonnage into the landfill.  Mr. Croney had already prepared a memo on this topic, which will be added to the subcommittee’s document.</w:t>
      </w:r>
    </w:p>
    <w:p w14:paraId="19D918DD" w14:textId="77777777" w:rsidR="000231DA" w:rsidRDefault="00833E38" w:rsidP="000231DA">
      <w:pPr>
        <w:pStyle w:val="Body"/>
        <w:numPr>
          <w:ilvl w:val="0"/>
          <w:numId w:val="21"/>
        </w:numPr>
        <w:spacing w:line="240" w:lineRule="auto"/>
        <w:rPr>
          <w:rFonts w:ascii="Calibri" w:hAnsi="Calibri" w:cs="Calibri"/>
        </w:rPr>
      </w:pPr>
      <w:r>
        <w:rPr>
          <w:rFonts w:ascii="Calibri" w:hAnsi="Calibri" w:cs="Calibri"/>
        </w:rPr>
        <w:t>DEQ decides what kinds of waste are prohibited from entering the land fill.</w:t>
      </w:r>
    </w:p>
    <w:p w14:paraId="76D26F1D" w14:textId="2D94FD0A" w:rsidR="000231DA" w:rsidRPr="000231DA" w:rsidRDefault="000231DA" w:rsidP="000231DA">
      <w:pPr>
        <w:pStyle w:val="Body"/>
        <w:numPr>
          <w:ilvl w:val="0"/>
          <w:numId w:val="21"/>
        </w:numPr>
        <w:spacing w:line="240" w:lineRule="auto"/>
        <w:rPr>
          <w:rFonts w:ascii="Calibri" w:hAnsi="Calibri" w:cs="Calibri"/>
        </w:rPr>
      </w:pPr>
      <w:r w:rsidRPr="00472407">
        <w:rPr>
          <w:rFonts w:ascii="Calibri" w:hAnsi="Calibri" w:cs="Calibri"/>
        </w:rPr>
        <w:t>Can or should the County consider DEQ permitting topics when assessing the local land use application criteria?</w:t>
      </w:r>
      <w:r w:rsidR="00833E38" w:rsidRPr="000231DA">
        <w:rPr>
          <w:rFonts w:ascii="Calibri" w:hAnsi="Calibri" w:cs="Calibri"/>
          <w:b/>
          <w:bCs/>
        </w:rPr>
        <w:t xml:space="preserve"> </w:t>
      </w:r>
      <w:r w:rsidRPr="000231DA">
        <w:rPr>
          <w:rFonts w:ascii="Calibri" w:hAnsi="Calibri" w:cs="Calibri"/>
          <w:b/>
          <w:bCs/>
        </w:rPr>
        <w:t xml:space="preserve"> </w:t>
      </w:r>
      <w:r w:rsidRPr="000231DA">
        <w:rPr>
          <w:rFonts w:ascii="Calibri" w:hAnsi="Calibri" w:cs="Calibri"/>
        </w:rPr>
        <w:t>(Section A3, Line 12)</w:t>
      </w:r>
    </w:p>
    <w:p w14:paraId="6043A7F4" w14:textId="18C2736A" w:rsidR="000231DA" w:rsidRDefault="000231DA" w:rsidP="000231DA">
      <w:pPr>
        <w:pStyle w:val="Body"/>
        <w:numPr>
          <w:ilvl w:val="1"/>
          <w:numId w:val="21"/>
        </w:numPr>
        <w:spacing w:line="240" w:lineRule="auto"/>
        <w:rPr>
          <w:rFonts w:ascii="Calibri" w:hAnsi="Calibri" w:cs="Calibri"/>
        </w:rPr>
      </w:pPr>
      <w:r w:rsidRPr="000231DA">
        <w:rPr>
          <w:rFonts w:ascii="Calibri" w:hAnsi="Calibri" w:cs="Calibri"/>
        </w:rPr>
        <w:t xml:space="preserve">The committee agreed that its role is to answer the legal question (“can the County …”); the policy question (“should the County …”) was better left to another group.  </w:t>
      </w:r>
    </w:p>
    <w:p w14:paraId="074F7790" w14:textId="3126409B" w:rsidR="000231DA" w:rsidRPr="000231DA" w:rsidRDefault="000231DA" w:rsidP="000231DA">
      <w:pPr>
        <w:pStyle w:val="Body"/>
        <w:numPr>
          <w:ilvl w:val="1"/>
          <w:numId w:val="21"/>
        </w:numPr>
        <w:spacing w:line="240" w:lineRule="auto"/>
        <w:rPr>
          <w:rFonts w:ascii="Calibri" w:hAnsi="Calibri" w:cs="Calibri"/>
        </w:rPr>
      </w:pPr>
      <w:r w:rsidRPr="000231DA">
        <w:rPr>
          <w:rFonts w:ascii="Calibri" w:eastAsia="Times New Roman" w:hAnsi="Calibri" w:cs="Calibri"/>
        </w:rPr>
        <w:lastRenderedPageBreak/>
        <w:t>Also address extent to which County can influence or overlap with state permitting authority.  Pre-emption language in DEQ statute</w:t>
      </w:r>
      <w:r>
        <w:rPr>
          <w:rFonts w:ascii="Calibri" w:eastAsia="Times New Roman" w:hAnsi="Calibri" w:cs="Calibri"/>
        </w:rPr>
        <w:t xml:space="preserve"> limits topics that a local jurisdiction can regulate</w:t>
      </w:r>
      <w:r w:rsidRPr="000231DA">
        <w:rPr>
          <w:rFonts w:ascii="Calibri" w:eastAsia="Times New Roman" w:hAnsi="Calibri" w:cs="Calibri"/>
        </w:rPr>
        <w:t xml:space="preserve">.  </w:t>
      </w:r>
      <w:r>
        <w:rPr>
          <w:rFonts w:ascii="Calibri" w:eastAsia="Times New Roman" w:hAnsi="Calibri" w:cs="Calibri"/>
        </w:rPr>
        <w:t>By cross-referencing state permit requirements in the conditions of the County’s land use approval, the state and local government have more of a tool for enforcement</w:t>
      </w:r>
      <w:r w:rsidRPr="000231DA">
        <w:rPr>
          <w:rFonts w:ascii="Calibri" w:eastAsia="Times New Roman" w:hAnsi="Calibri" w:cs="Calibri"/>
        </w:rPr>
        <w:t>.</w:t>
      </w:r>
    </w:p>
    <w:p w14:paraId="0EAA7A79" w14:textId="77777777" w:rsidR="000231DA" w:rsidRPr="000231DA" w:rsidRDefault="000231DA" w:rsidP="000231DA">
      <w:pPr>
        <w:numPr>
          <w:ilvl w:val="2"/>
          <w:numId w:val="23"/>
        </w:numPr>
        <w:spacing w:after="0" w:line="240" w:lineRule="auto"/>
        <w:textAlignment w:val="center"/>
        <w:rPr>
          <w:rFonts w:ascii="Calibri" w:eastAsia="Times New Roman" w:hAnsi="Calibri" w:cs="Calibri"/>
        </w:rPr>
      </w:pPr>
      <w:r w:rsidRPr="000231DA">
        <w:rPr>
          <w:rFonts w:ascii="Calibri" w:eastAsia="Times New Roman" w:hAnsi="Calibri" w:cs="Calibri"/>
        </w:rPr>
        <w:t>Can the county set a higher threshold for a DEQ-regulated item?</w:t>
      </w:r>
    </w:p>
    <w:p w14:paraId="3D293F69" w14:textId="77777777" w:rsidR="000231DA" w:rsidRPr="000231DA" w:rsidRDefault="000231DA" w:rsidP="000231DA">
      <w:pPr>
        <w:numPr>
          <w:ilvl w:val="2"/>
          <w:numId w:val="23"/>
        </w:numPr>
        <w:spacing w:after="0" w:line="240" w:lineRule="auto"/>
        <w:textAlignment w:val="center"/>
        <w:rPr>
          <w:rFonts w:ascii="Calibri" w:eastAsia="Times New Roman" w:hAnsi="Calibri" w:cs="Calibri"/>
        </w:rPr>
      </w:pPr>
      <w:r w:rsidRPr="000231DA">
        <w:rPr>
          <w:rFonts w:ascii="Calibri" w:eastAsia="Times New Roman" w:hAnsi="Calibri" w:cs="Calibri"/>
        </w:rPr>
        <w:t>State that DSL is in charge of wetlands; they regulate all wetlands that meet the jurisdictional definition</w:t>
      </w:r>
    </w:p>
    <w:p w14:paraId="7FD5FFDB" w14:textId="77777777" w:rsidR="000231DA" w:rsidRDefault="000231DA" w:rsidP="000231DA">
      <w:pPr>
        <w:numPr>
          <w:ilvl w:val="2"/>
          <w:numId w:val="23"/>
        </w:numPr>
        <w:spacing w:after="0" w:line="240" w:lineRule="auto"/>
        <w:textAlignment w:val="center"/>
        <w:rPr>
          <w:rFonts w:ascii="Calibri" w:eastAsia="Times New Roman" w:hAnsi="Calibri" w:cs="Calibri"/>
        </w:rPr>
      </w:pPr>
      <w:r w:rsidRPr="000231DA">
        <w:rPr>
          <w:rFonts w:ascii="Calibri" w:eastAsia="Times New Roman" w:hAnsi="Calibri" w:cs="Calibri"/>
        </w:rPr>
        <w:t>Address why can't the county regulate all wetlands, too?</w:t>
      </w:r>
    </w:p>
    <w:p w14:paraId="2C16D30A" w14:textId="57D74777" w:rsidR="000231DA" w:rsidRPr="000231DA" w:rsidRDefault="000231DA" w:rsidP="000231DA">
      <w:pPr>
        <w:numPr>
          <w:ilvl w:val="2"/>
          <w:numId w:val="23"/>
        </w:numPr>
        <w:spacing w:after="0" w:line="240" w:lineRule="auto"/>
        <w:textAlignment w:val="center"/>
        <w:rPr>
          <w:rFonts w:ascii="Calibri" w:eastAsia="Times New Roman" w:hAnsi="Calibri" w:cs="Calibri"/>
        </w:rPr>
      </w:pPr>
      <w:r w:rsidRPr="000231DA">
        <w:rPr>
          <w:rFonts w:ascii="Calibri" w:eastAsia="Times New Roman" w:hAnsi="Calibri" w:cs="Calibri"/>
        </w:rPr>
        <w:t>Jeff C</w:t>
      </w:r>
      <w:r>
        <w:rPr>
          <w:rFonts w:ascii="Calibri" w:eastAsia="Times New Roman" w:hAnsi="Calibri" w:cs="Calibri"/>
        </w:rPr>
        <w:t>ondit</w:t>
      </w:r>
      <w:r w:rsidRPr="000231DA">
        <w:rPr>
          <w:rFonts w:ascii="Calibri" w:eastAsia="Times New Roman" w:hAnsi="Calibri" w:cs="Calibri"/>
        </w:rPr>
        <w:t xml:space="preserve"> will </w:t>
      </w:r>
      <w:r>
        <w:rPr>
          <w:rFonts w:ascii="Calibri" w:eastAsia="Times New Roman" w:hAnsi="Calibri" w:cs="Calibri"/>
        </w:rPr>
        <w:t>draft a response to these topics</w:t>
      </w:r>
      <w:r w:rsidRPr="000231DA">
        <w:rPr>
          <w:rFonts w:ascii="Calibri" w:eastAsia="Times New Roman" w:hAnsi="Calibri" w:cs="Calibri"/>
        </w:rPr>
        <w:t xml:space="preserve">; </w:t>
      </w:r>
      <w:r>
        <w:rPr>
          <w:rFonts w:ascii="Calibri" w:eastAsia="Times New Roman" w:hAnsi="Calibri" w:cs="Calibri"/>
        </w:rPr>
        <w:t xml:space="preserve">Greg Verret will </w:t>
      </w:r>
      <w:r w:rsidRPr="000231DA">
        <w:rPr>
          <w:rFonts w:ascii="Calibri" w:eastAsia="Times New Roman" w:hAnsi="Calibri" w:cs="Calibri"/>
        </w:rPr>
        <w:t xml:space="preserve">fill in </w:t>
      </w:r>
      <w:r>
        <w:rPr>
          <w:rFonts w:ascii="Calibri" w:eastAsia="Times New Roman" w:hAnsi="Calibri" w:cs="Calibri"/>
        </w:rPr>
        <w:t xml:space="preserve">additional </w:t>
      </w:r>
      <w:r w:rsidRPr="000231DA">
        <w:rPr>
          <w:rFonts w:ascii="Calibri" w:eastAsia="Times New Roman" w:hAnsi="Calibri" w:cs="Calibri"/>
        </w:rPr>
        <w:t>boxes.</w:t>
      </w:r>
    </w:p>
    <w:p w14:paraId="3B58B995" w14:textId="323D37C3" w:rsidR="007E6E67" w:rsidRDefault="007E6E67" w:rsidP="00197AC6">
      <w:pPr>
        <w:pStyle w:val="Heading1"/>
        <w:rPr>
          <w:rFonts w:asciiTheme="minorHAnsi" w:hAnsiTheme="minorHAnsi" w:cstheme="minorHAnsi"/>
          <w:color w:val="auto"/>
          <w:sz w:val="28"/>
          <w:szCs w:val="28"/>
        </w:rPr>
      </w:pPr>
      <w:r>
        <w:rPr>
          <w:rFonts w:asciiTheme="minorHAnsi" w:hAnsiTheme="minorHAnsi" w:cstheme="minorHAnsi"/>
          <w:color w:val="auto"/>
          <w:sz w:val="28"/>
          <w:szCs w:val="28"/>
        </w:rPr>
        <w:t>Next Steps/Action Items:</w:t>
      </w:r>
    </w:p>
    <w:p w14:paraId="35779130" w14:textId="37A10AFD" w:rsidR="00ED01E8" w:rsidRPr="00683F75" w:rsidRDefault="00ED01E8" w:rsidP="00ED01E8">
      <w:pPr>
        <w:pStyle w:val="Default"/>
        <w:numPr>
          <w:ilvl w:val="0"/>
          <w:numId w:val="18"/>
        </w:numPr>
        <w:spacing w:before="0" w:after="120" w:line="240" w:lineRule="auto"/>
        <w:rPr>
          <w:rFonts w:ascii="Calibri" w:eastAsia="Times Roman" w:hAnsi="Calibri" w:cs="Calibri"/>
        </w:rPr>
      </w:pPr>
      <w:r>
        <w:rPr>
          <w:rFonts w:ascii="Calibri" w:hAnsi="Calibri" w:cs="Calibri"/>
        </w:rPr>
        <w:t>Mr. Croney and Mr. Condit to submit a memo that would explain further how ambiguous terms are interpreted.</w:t>
      </w:r>
    </w:p>
    <w:p w14:paraId="382F64DA" w14:textId="4AA79EF7" w:rsidR="00683F75" w:rsidRPr="00AB21A1" w:rsidRDefault="00683F75" w:rsidP="00683F75">
      <w:pPr>
        <w:pStyle w:val="Default"/>
        <w:numPr>
          <w:ilvl w:val="1"/>
          <w:numId w:val="18"/>
        </w:numPr>
        <w:spacing w:before="0" w:after="120" w:line="240" w:lineRule="auto"/>
        <w:rPr>
          <w:rFonts w:asciiTheme="minorHAnsi" w:eastAsia="Times Roman" w:hAnsiTheme="minorHAnsi" w:cstheme="minorHAnsi"/>
          <w:i/>
          <w:iCs/>
        </w:rPr>
      </w:pPr>
      <w:r w:rsidRPr="00AB21A1">
        <w:rPr>
          <w:rFonts w:asciiTheme="minorHAnsi" w:hAnsiTheme="minorHAnsi" w:cstheme="minorHAnsi"/>
          <w:i/>
          <w:iCs/>
        </w:rPr>
        <w:t>Completed 11/2/2022.</w:t>
      </w:r>
      <w:r w:rsidR="00AB21A1" w:rsidRPr="00AB21A1">
        <w:rPr>
          <w:rFonts w:asciiTheme="minorHAnsi" w:hAnsiTheme="minorHAnsi" w:cstheme="minorHAnsi"/>
          <w:i/>
          <w:iCs/>
        </w:rPr>
        <w:t xml:space="preserve"> Document titled “Ambiguous Terms and Deference to Local Interpretation.”  </w:t>
      </w:r>
      <w:r w:rsidR="00850712" w:rsidRPr="00AB21A1">
        <w:rPr>
          <w:rFonts w:asciiTheme="minorHAnsi" w:hAnsiTheme="minorHAnsi" w:cstheme="minorHAnsi"/>
          <w:i/>
          <w:iCs/>
        </w:rPr>
        <w:t>Needs to be integrated into master document.</w:t>
      </w:r>
    </w:p>
    <w:p w14:paraId="4709B79A" w14:textId="622EE942" w:rsidR="00ED01E8" w:rsidRDefault="00562A40" w:rsidP="00ED01E8">
      <w:pPr>
        <w:pStyle w:val="Default"/>
        <w:numPr>
          <w:ilvl w:val="0"/>
          <w:numId w:val="18"/>
        </w:numPr>
        <w:spacing w:before="0" w:after="120" w:line="240" w:lineRule="auto"/>
        <w:rPr>
          <w:rFonts w:ascii="Calibri" w:eastAsia="Times Roman" w:hAnsi="Calibri" w:cs="Calibri"/>
        </w:rPr>
      </w:pPr>
      <w:r>
        <w:rPr>
          <w:rFonts w:ascii="Calibri" w:eastAsia="Times Roman" w:hAnsi="Calibri" w:cs="Calibri"/>
        </w:rPr>
        <w:t xml:space="preserve">Mr. Croney will draft an answer to </w:t>
      </w:r>
      <w:r w:rsidR="00ED01E8">
        <w:rPr>
          <w:rFonts w:ascii="Calibri" w:eastAsia="Times Roman" w:hAnsi="Calibri" w:cs="Calibri"/>
        </w:rPr>
        <w:t>“Can the County consider DEQ permitting topics when assessing the local land use application criteria?”</w:t>
      </w:r>
    </w:p>
    <w:p w14:paraId="3CB76B82" w14:textId="5C1ABB3D" w:rsidR="00562A40" w:rsidRPr="00AB21A1" w:rsidRDefault="00562A40" w:rsidP="00562A40">
      <w:pPr>
        <w:pStyle w:val="Default"/>
        <w:numPr>
          <w:ilvl w:val="1"/>
          <w:numId w:val="18"/>
        </w:numPr>
        <w:spacing w:before="0" w:after="120" w:line="240" w:lineRule="auto"/>
        <w:rPr>
          <w:rFonts w:ascii="Calibri" w:eastAsia="Times Roman" w:hAnsi="Calibri" w:cs="Calibri"/>
          <w:i/>
          <w:iCs/>
        </w:rPr>
      </w:pPr>
      <w:r w:rsidRPr="00AB21A1">
        <w:rPr>
          <w:rFonts w:ascii="Calibri" w:eastAsia="Times Roman" w:hAnsi="Calibri" w:cs="Calibri"/>
          <w:i/>
          <w:iCs/>
        </w:rPr>
        <w:t xml:space="preserve">Completed 11/2/2022.  Response inserted in </w:t>
      </w:r>
      <w:r w:rsidRPr="00AB21A1">
        <w:rPr>
          <w:rFonts w:ascii="Calibri" w:hAnsi="Calibri" w:cs="Calibri"/>
          <w:i/>
          <w:iCs/>
        </w:rPr>
        <w:t>Section A3, Line 12, of the master document.</w:t>
      </w:r>
    </w:p>
    <w:p w14:paraId="02C3747D" w14:textId="31CF51DC" w:rsidR="00562A40" w:rsidRPr="00562A40" w:rsidRDefault="00562A40" w:rsidP="00ED01E8">
      <w:pPr>
        <w:pStyle w:val="Default"/>
        <w:numPr>
          <w:ilvl w:val="0"/>
          <w:numId w:val="18"/>
        </w:numPr>
        <w:spacing w:before="0" w:after="120" w:line="240" w:lineRule="auto"/>
        <w:rPr>
          <w:rFonts w:ascii="Calibri" w:eastAsia="Times Roman" w:hAnsi="Calibri" w:cs="Calibri"/>
        </w:rPr>
      </w:pPr>
      <w:r>
        <w:rPr>
          <w:rFonts w:ascii="Calibri" w:eastAsia="Times Roman" w:hAnsi="Calibri" w:cs="Calibri"/>
        </w:rPr>
        <w:t>Mr. Condit and Mr. Verret will address certain limitations on local authority over state-regulated topics such as wetlands and environmental quality.</w:t>
      </w:r>
    </w:p>
    <w:p w14:paraId="5AD56EA1" w14:textId="79842CDA" w:rsidR="00ED01E8" w:rsidRPr="00562A40" w:rsidRDefault="00ED01E8" w:rsidP="00ED01E8">
      <w:pPr>
        <w:pStyle w:val="Default"/>
        <w:numPr>
          <w:ilvl w:val="0"/>
          <w:numId w:val="18"/>
        </w:numPr>
        <w:spacing w:before="0" w:after="120" w:line="240" w:lineRule="auto"/>
        <w:rPr>
          <w:rFonts w:ascii="Calibri" w:eastAsia="Times Roman" w:hAnsi="Calibri" w:cs="Calibri"/>
        </w:rPr>
      </w:pPr>
      <w:r>
        <w:rPr>
          <w:rFonts w:ascii="Calibri" w:hAnsi="Calibri" w:cs="Calibri"/>
        </w:rPr>
        <w:t>Both Mr. Croney and Mr. Condit will be reviewing all previous documents to be sure they have all been updated.</w:t>
      </w:r>
    </w:p>
    <w:p w14:paraId="377004CE" w14:textId="77777777" w:rsidR="00562A40" w:rsidRPr="00562A40" w:rsidRDefault="00562A40" w:rsidP="00562A40">
      <w:pPr>
        <w:pStyle w:val="Default"/>
        <w:numPr>
          <w:ilvl w:val="0"/>
          <w:numId w:val="18"/>
        </w:numPr>
        <w:spacing w:before="0" w:after="120" w:line="240" w:lineRule="auto"/>
        <w:rPr>
          <w:rFonts w:ascii="Calibri" w:eastAsia="Times Roman" w:hAnsi="Calibri" w:cs="Calibri"/>
        </w:rPr>
      </w:pPr>
      <w:r>
        <w:rPr>
          <w:rFonts w:ascii="Calibri" w:hAnsi="Calibri" w:cs="Calibri"/>
        </w:rPr>
        <w:t>Mr. Condit will review the franchise agreement portions of Section A2 and submit any markups (tracked changes).</w:t>
      </w:r>
    </w:p>
    <w:p w14:paraId="4F2D49CC" w14:textId="7017A9C3" w:rsidR="006F0594" w:rsidRPr="00057F82" w:rsidRDefault="00ED01E8" w:rsidP="006F0594">
      <w:pPr>
        <w:pStyle w:val="Default"/>
        <w:numPr>
          <w:ilvl w:val="0"/>
          <w:numId w:val="18"/>
        </w:numPr>
        <w:spacing w:before="0" w:after="120" w:line="240" w:lineRule="auto"/>
        <w:rPr>
          <w:rFonts w:ascii="Calibri" w:eastAsia="Times Roman" w:hAnsi="Calibri" w:cs="Calibri"/>
        </w:rPr>
      </w:pPr>
      <w:r w:rsidRPr="00562A40">
        <w:rPr>
          <w:rFonts w:ascii="Calibri" w:eastAsia="Times New Roman" w:hAnsi="Calibri" w:cs="Calibri"/>
        </w:rPr>
        <w:t xml:space="preserve">Add number of franchise agreements there have been, the current ones are the ones that control, and those are the ones discussed herein. </w:t>
      </w:r>
    </w:p>
    <w:p w14:paraId="56D89DAB" w14:textId="4DFDDFD8" w:rsidR="00057F82" w:rsidRPr="006F0594" w:rsidRDefault="00057F82" w:rsidP="00057F82">
      <w:pPr>
        <w:pStyle w:val="Default"/>
        <w:numPr>
          <w:ilvl w:val="1"/>
          <w:numId w:val="18"/>
        </w:numPr>
        <w:spacing w:before="0" w:after="120" w:line="240" w:lineRule="auto"/>
        <w:rPr>
          <w:rFonts w:ascii="Calibri" w:eastAsia="Times Roman" w:hAnsi="Calibri" w:cs="Calibri"/>
        </w:rPr>
      </w:pPr>
      <w:r>
        <w:rPr>
          <w:rFonts w:ascii="Calibri" w:eastAsia="Times New Roman" w:hAnsi="Calibri" w:cs="Calibri"/>
        </w:rPr>
        <w:t>Added statement to Page 3 of master document.  Did not list number of past agreements as that appears to be irrelevant.</w:t>
      </w:r>
    </w:p>
    <w:p w14:paraId="2120BF58" w14:textId="00797940" w:rsidR="00ED01E8" w:rsidRPr="006F0594" w:rsidRDefault="00ED01E8" w:rsidP="006F0594">
      <w:pPr>
        <w:pStyle w:val="Default"/>
        <w:numPr>
          <w:ilvl w:val="0"/>
          <w:numId w:val="18"/>
        </w:numPr>
        <w:spacing w:before="0" w:after="120" w:line="240" w:lineRule="auto"/>
        <w:rPr>
          <w:rFonts w:ascii="Calibri" w:eastAsia="Times Roman" w:hAnsi="Calibri" w:cs="Calibri"/>
        </w:rPr>
      </w:pPr>
      <w:r w:rsidRPr="0016725B">
        <w:rPr>
          <w:rFonts w:ascii="Calibri" w:eastAsia="Times New Roman" w:hAnsi="Calibri" w:cs="Calibri"/>
        </w:rPr>
        <w:t>County staff review "</w:t>
      </w:r>
      <w:r w:rsidRPr="006F0594">
        <w:rPr>
          <w:rFonts w:ascii="Calibri" w:eastAsia="Times New Roman" w:hAnsi="Calibri" w:cs="Calibri"/>
        </w:rPr>
        <w:t>What legally can and cannot be conditions of any land use approval."</w:t>
      </w:r>
    </w:p>
    <w:p w14:paraId="00595895" w14:textId="6BCDE624" w:rsidR="00ED01E8" w:rsidRDefault="00B0460A" w:rsidP="00ED01E8">
      <w:pPr>
        <w:pStyle w:val="Default"/>
        <w:numPr>
          <w:ilvl w:val="0"/>
          <w:numId w:val="18"/>
        </w:numPr>
        <w:spacing w:before="0" w:after="120" w:line="240" w:lineRule="auto"/>
        <w:rPr>
          <w:rFonts w:ascii="Calibri" w:eastAsia="Times Roman" w:hAnsi="Calibri" w:cs="Calibri"/>
        </w:rPr>
      </w:pPr>
      <w:r>
        <w:rPr>
          <w:rFonts w:ascii="Calibri" w:eastAsia="Times Roman" w:hAnsi="Calibri" w:cs="Calibri"/>
        </w:rPr>
        <w:t>Incorporate Mr. Croney’s previous memo on the topics of “</w:t>
      </w:r>
      <w:r w:rsidRPr="00B0460A">
        <w:rPr>
          <w:rFonts w:ascii="Calibri" w:eastAsia="Times Roman" w:hAnsi="Calibri" w:cs="Calibri"/>
        </w:rPr>
        <w:t>Can Benton County prohibit solid waste generated outside the county from being deposited at Coffin Butte landfill</w:t>
      </w:r>
      <w:r>
        <w:rPr>
          <w:rFonts w:ascii="Calibri" w:eastAsia="Times Roman" w:hAnsi="Calibri" w:cs="Calibri"/>
        </w:rPr>
        <w:t>?” and “What effect does the regional landfill designation have?”</w:t>
      </w:r>
    </w:p>
    <w:p w14:paraId="5502E964" w14:textId="279B4CF9" w:rsidR="00B0460A" w:rsidRDefault="00B0460A" w:rsidP="00B0460A">
      <w:pPr>
        <w:pStyle w:val="Default"/>
        <w:numPr>
          <w:ilvl w:val="1"/>
          <w:numId w:val="18"/>
        </w:numPr>
        <w:spacing w:before="0" w:after="120" w:line="240" w:lineRule="auto"/>
        <w:rPr>
          <w:rFonts w:ascii="Calibri" w:eastAsia="Times Roman" w:hAnsi="Calibri" w:cs="Calibri"/>
        </w:rPr>
      </w:pPr>
      <w:r>
        <w:rPr>
          <w:rFonts w:ascii="Calibri" w:eastAsia="Times Roman" w:hAnsi="Calibri" w:cs="Calibri"/>
        </w:rPr>
        <w:t xml:space="preserve">Completed 11/2/2022.  See </w:t>
      </w:r>
      <w:r w:rsidR="006255E0">
        <w:rPr>
          <w:rFonts w:ascii="Calibri" w:eastAsia="Times Roman" w:hAnsi="Calibri" w:cs="Calibri"/>
        </w:rPr>
        <w:t xml:space="preserve">Page 12 and Page 31 of </w:t>
      </w:r>
      <w:r w:rsidR="006255E0" w:rsidRPr="00AB21A1">
        <w:rPr>
          <w:rFonts w:ascii="Calibri" w:eastAsia="Times Roman" w:hAnsi="Calibri" w:cs="Calibri"/>
        </w:rPr>
        <w:t>the master document.</w:t>
      </w:r>
    </w:p>
    <w:p w14:paraId="38D741B4" w14:textId="3512E9E9" w:rsidR="005C5A5C" w:rsidRDefault="005C5A5C" w:rsidP="00350D0A">
      <w:pPr>
        <w:pStyle w:val="Default"/>
        <w:numPr>
          <w:ilvl w:val="0"/>
          <w:numId w:val="18"/>
        </w:numPr>
        <w:spacing w:before="0" w:after="120" w:line="240" w:lineRule="auto"/>
        <w:rPr>
          <w:rFonts w:ascii="Calibri" w:eastAsia="Times Roman" w:hAnsi="Calibri" w:cs="Calibri"/>
        </w:rPr>
      </w:pPr>
      <w:r>
        <w:rPr>
          <w:rFonts w:ascii="Calibri" w:eastAsia="Times Roman" w:hAnsi="Calibri" w:cs="Calibri"/>
        </w:rPr>
        <w:t>Identify which provisions of past franchise agreements decisions remain in force today.</w:t>
      </w:r>
    </w:p>
    <w:p w14:paraId="31A44DD6" w14:textId="65D8F357" w:rsidR="005C5A5C" w:rsidRDefault="00801AC5" w:rsidP="005C5A5C">
      <w:pPr>
        <w:pStyle w:val="Default"/>
        <w:numPr>
          <w:ilvl w:val="1"/>
          <w:numId w:val="18"/>
        </w:numPr>
        <w:spacing w:before="0" w:after="120" w:line="240" w:lineRule="auto"/>
        <w:rPr>
          <w:rFonts w:ascii="Calibri" w:eastAsia="Times Roman" w:hAnsi="Calibri" w:cs="Calibri"/>
        </w:rPr>
      </w:pPr>
      <w:r>
        <w:rPr>
          <w:rFonts w:ascii="Calibri" w:eastAsia="Times Roman" w:hAnsi="Calibri" w:cs="Calibri"/>
        </w:rPr>
        <w:lastRenderedPageBreak/>
        <w:t>Draft statement added to Page 3 of master document.  Review needed.</w:t>
      </w:r>
    </w:p>
    <w:p w14:paraId="47802239" w14:textId="77777777" w:rsidR="00AB21A1" w:rsidRDefault="005C5A5C" w:rsidP="00801AC5">
      <w:pPr>
        <w:pStyle w:val="Default"/>
        <w:numPr>
          <w:ilvl w:val="0"/>
          <w:numId w:val="18"/>
        </w:numPr>
        <w:spacing w:before="0" w:after="120" w:line="240" w:lineRule="auto"/>
        <w:rPr>
          <w:rFonts w:ascii="Calibri" w:eastAsia="Times Roman" w:hAnsi="Calibri" w:cs="Calibri"/>
        </w:rPr>
      </w:pPr>
      <w:r>
        <w:rPr>
          <w:rFonts w:ascii="Calibri" w:eastAsia="Times Roman" w:hAnsi="Calibri" w:cs="Calibri"/>
        </w:rPr>
        <w:t>Identify which provisions/conditions of approval of past land use decisions remain in force today.</w:t>
      </w:r>
      <w:r w:rsidR="00801AC5">
        <w:rPr>
          <w:rFonts w:ascii="Calibri" w:eastAsia="Times Roman" w:hAnsi="Calibri" w:cs="Calibri"/>
        </w:rPr>
        <w:t xml:space="preserve">  </w:t>
      </w:r>
    </w:p>
    <w:p w14:paraId="3C0EDC6A" w14:textId="2485C9B1" w:rsidR="00801AC5" w:rsidRPr="00801AC5" w:rsidRDefault="00801AC5" w:rsidP="00AB21A1">
      <w:pPr>
        <w:pStyle w:val="Default"/>
        <w:spacing w:before="0" w:after="120" w:line="240" w:lineRule="auto"/>
        <w:ind w:left="1080"/>
        <w:rPr>
          <w:rFonts w:ascii="Calibri" w:eastAsia="Times Roman" w:hAnsi="Calibri" w:cs="Calibri"/>
        </w:rPr>
      </w:pPr>
      <w:r>
        <w:rPr>
          <w:rFonts w:ascii="Calibri" w:eastAsia="Times Roman" w:hAnsi="Calibri" w:cs="Calibri"/>
          <w:i/>
          <w:iCs/>
        </w:rPr>
        <w:t>Section heading added as placeholder</w:t>
      </w:r>
      <w:r w:rsidR="00AB21A1">
        <w:rPr>
          <w:rFonts w:ascii="Calibri" w:eastAsia="Times Roman" w:hAnsi="Calibri" w:cs="Calibri"/>
          <w:i/>
          <w:iCs/>
        </w:rPr>
        <w:t xml:space="preserve"> on Page 3</w:t>
      </w:r>
      <w:r>
        <w:rPr>
          <w:rFonts w:ascii="Calibri" w:eastAsia="Times Roman" w:hAnsi="Calibri" w:cs="Calibri"/>
          <w:i/>
          <w:iCs/>
        </w:rPr>
        <w:t xml:space="preserve">; </w:t>
      </w:r>
      <w:r w:rsidR="0016725B">
        <w:rPr>
          <w:rFonts w:ascii="Calibri" w:eastAsia="Times Roman" w:hAnsi="Calibri" w:cs="Calibri"/>
          <w:i/>
          <w:iCs/>
        </w:rPr>
        <w:t>content</w:t>
      </w:r>
      <w:r>
        <w:rPr>
          <w:rFonts w:ascii="Calibri" w:eastAsia="Times Roman" w:hAnsi="Calibri" w:cs="Calibri"/>
          <w:i/>
          <w:iCs/>
        </w:rPr>
        <w:t xml:space="preserve"> needed.</w:t>
      </w:r>
    </w:p>
    <w:p w14:paraId="5169A44E" w14:textId="77777777" w:rsidR="007E6E67" w:rsidRDefault="007E6E67" w:rsidP="00197AC6">
      <w:pPr>
        <w:pStyle w:val="Heading1"/>
        <w:rPr>
          <w:rFonts w:asciiTheme="minorHAnsi" w:hAnsiTheme="minorHAnsi" w:cstheme="minorHAnsi"/>
          <w:color w:val="auto"/>
          <w:sz w:val="28"/>
          <w:szCs w:val="28"/>
        </w:rPr>
      </w:pPr>
    </w:p>
    <w:p w14:paraId="4348F9AA" w14:textId="0FCDB14D" w:rsidR="00472407" w:rsidRDefault="00472407" w:rsidP="00472407">
      <w:pPr>
        <w:pStyle w:val="Heading1"/>
        <w:rPr>
          <w:rFonts w:asciiTheme="minorHAnsi" w:hAnsiTheme="minorHAnsi" w:cstheme="minorHAnsi"/>
          <w:color w:val="auto"/>
          <w:sz w:val="28"/>
          <w:szCs w:val="28"/>
        </w:rPr>
      </w:pPr>
      <w:r>
        <w:rPr>
          <w:rFonts w:asciiTheme="minorHAnsi" w:hAnsiTheme="minorHAnsi" w:cstheme="minorHAnsi"/>
          <w:color w:val="auto"/>
          <w:sz w:val="28"/>
          <w:szCs w:val="28"/>
        </w:rPr>
        <w:t>Post-Meeting Next Steps/Action Items:</w:t>
      </w:r>
    </w:p>
    <w:p w14:paraId="188A14E5" w14:textId="77777777" w:rsidR="00472407" w:rsidRDefault="00472407" w:rsidP="00472407">
      <w:pPr>
        <w:pStyle w:val="Default"/>
        <w:numPr>
          <w:ilvl w:val="0"/>
          <w:numId w:val="18"/>
        </w:numPr>
        <w:spacing w:before="0" w:after="120" w:line="240" w:lineRule="auto"/>
        <w:rPr>
          <w:rFonts w:ascii="Calibri" w:eastAsia="Times Roman" w:hAnsi="Calibri" w:cs="Calibri"/>
        </w:rPr>
      </w:pPr>
      <w:r>
        <w:rPr>
          <w:rFonts w:ascii="Calibri" w:eastAsia="Times Roman" w:hAnsi="Calibri" w:cs="Calibri"/>
        </w:rPr>
        <w:t xml:space="preserve">Elaborate on the 150-day time limit for rendering a final land use decision (currently addressed under Charge B, Background (Page 35) of the master document).  What options exist in how the County processes a land use application that could facilitating meaningful public input to the decision-making process? [Request from Facilitator]  </w:t>
      </w:r>
    </w:p>
    <w:p w14:paraId="04504393" w14:textId="011369EB" w:rsidR="00472407" w:rsidRPr="00AB21A1" w:rsidRDefault="00AB21A1" w:rsidP="00AB21A1">
      <w:pPr>
        <w:pStyle w:val="Default"/>
        <w:spacing w:before="0" w:after="120" w:line="240" w:lineRule="auto"/>
        <w:ind w:left="1080"/>
        <w:rPr>
          <w:rFonts w:ascii="Calibri" w:eastAsia="Times Roman" w:hAnsi="Calibri" w:cs="Calibri"/>
          <w:i/>
          <w:iCs/>
        </w:rPr>
      </w:pPr>
      <w:r w:rsidRPr="00AB21A1">
        <w:rPr>
          <w:rFonts w:ascii="Calibri" w:eastAsia="Times Roman" w:hAnsi="Calibri" w:cs="Calibri"/>
          <w:i/>
          <w:iCs/>
        </w:rPr>
        <w:t xml:space="preserve">Draft in progress by staff.  Placeholder on </w:t>
      </w:r>
      <w:r w:rsidR="00472407" w:rsidRPr="00AB21A1">
        <w:rPr>
          <w:rFonts w:ascii="Calibri" w:eastAsia="Times Roman" w:hAnsi="Calibri" w:cs="Calibri"/>
          <w:i/>
          <w:iCs/>
        </w:rPr>
        <w:t>Page 4</w:t>
      </w:r>
      <w:r>
        <w:rPr>
          <w:rFonts w:ascii="Calibri" w:eastAsia="Times Roman" w:hAnsi="Calibri" w:cs="Calibri"/>
          <w:i/>
          <w:iCs/>
        </w:rPr>
        <w:t>4</w:t>
      </w:r>
      <w:r w:rsidR="00472407" w:rsidRPr="00AB21A1">
        <w:rPr>
          <w:rFonts w:ascii="Calibri" w:eastAsia="Times Roman" w:hAnsi="Calibri" w:cs="Calibri"/>
          <w:i/>
          <w:iCs/>
        </w:rPr>
        <w:t xml:space="preserve"> of the master document.</w:t>
      </w:r>
    </w:p>
    <w:p w14:paraId="163D2297" w14:textId="5CB6774C" w:rsidR="00472407" w:rsidRDefault="00472407" w:rsidP="00472407">
      <w:pPr>
        <w:pStyle w:val="Default"/>
        <w:numPr>
          <w:ilvl w:val="0"/>
          <w:numId w:val="18"/>
        </w:numPr>
        <w:spacing w:before="0" w:after="120" w:line="240" w:lineRule="auto"/>
        <w:rPr>
          <w:rFonts w:ascii="Calibri" w:eastAsia="Times Roman" w:hAnsi="Calibri" w:cs="Calibri"/>
        </w:rPr>
      </w:pPr>
      <w:r>
        <w:rPr>
          <w:rFonts w:ascii="Calibri" w:eastAsia="Times Roman" w:hAnsi="Calibri" w:cs="Calibri"/>
        </w:rPr>
        <w:t>Add Charge B.4:  “</w:t>
      </w:r>
      <w:r w:rsidRPr="00350D0A">
        <w:rPr>
          <w:rFonts w:ascii="Calibri" w:eastAsia="Times Roman" w:hAnsi="Calibri" w:cs="Calibri"/>
        </w:rPr>
        <w:t>Develop protocols for the timely and broad distribution of CUP-related information to the public, other governmental entities, and internal committees, groups, and divisions.</w:t>
      </w:r>
      <w:r>
        <w:rPr>
          <w:rFonts w:ascii="Calibri" w:eastAsia="Times Roman" w:hAnsi="Calibri" w:cs="Calibri"/>
        </w:rPr>
        <w:t>”</w:t>
      </w:r>
    </w:p>
    <w:p w14:paraId="5F0B78E5" w14:textId="40E84451" w:rsidR="00057F82" w:rsidRPr="00AB21A1" w:rsidRDefault="00057F82" w:rsidP="00AB21A1">
      <w:pPr>
        <w:pStyle w:val="Default"/>
        <w:spacing w:before="0" w:after="120" w:line="240" w:lineRule="auto"/>
        <w:ind w:left="1080"/>
        <w:rPr>
          <w:rFonts w:ascii="Calibri" w:eastAsia="Times Roman" w:hAnsi="Calibri" w:cs="Calibri"/>
          <w:i/>
          <w:iCs/>
        </w:rPr>
      </w:pPr>
      <w:r w:rsidRPr="00AB21A1">
        <w:rPr>
          <w:rFonts w:ascii="Calibri" w:eastAsia="Times Roman" w:hAnsi="Calibri" w:cs="Calibri"/>
          <w:i/>
          <w:iCs/>
        </w:rPr>
        <w:t>Section heading added.  See Page 4</w:t>
      </w:r>
      <w:r w:rsidR="00AB21A1">
        <w:rPr>
          <w:rFonts w:ascii="Calibri" w:eastAsia="Times Roman" w:hAnsi="Calibri" w:cs="Calibri"/>
          <w:i/>
          <w:iCs/>
        </w:rPr>
        <w:t>5</w:t>
      </w:r>
      <w:r w:rsidRPr="00AB21A1">
        <w:rPr>
          <w:rFonts w:ascii="Calibri" w:eastAsia="Times Roman" w:hAnsi="Calibri" w:cs="Calibri"/>
          <w:i/>
          <w:iCs/>
        </w:rPr>
        <w:t xml:space="preserve"> of the master document.  No content yet.</w:t>
      </w:r>
    </w:p>
    <w:p w14:paraId="109CF392" w14:textId="7BACEAC3" w:rsidR="00AB21A1" w:rsidRPr="00ED01E8" w:rsidRDefault="00AB21A1" w:rsidP="00AB21A1">
      <w:pPr>
        <w:pStyle w:val="Heading1"/>
        <w:rPr>
          <w:rFonts w:asciiTheme="minorHAnsi" w:hAnsiTheme="minorHAnsi" w:cstheme="minorHAnsi"/>
          <w:color w:val="auto"/>
          <w:sz w:val="28"/>
          <w:szCs w:val="28"/>
        </w:rPr>
      </w:pPr>
      <w:r w:rsidRPr="00ED01E8">
        <w:rPr>
          <w:rFonts w:asciiTheme="minorHAnsi" w:hAnsiTheme="minorHAnsi" w:cstheme="minorHAnsi"/>
          <w:color w:val="auto"/>
          <w:sz w:val="28"/>
          <w:szCs w:val="28"/>
        </w:rPr>
        <w:t>Next Meeting</w:t>
      </w:r>
      <w:r>
        <w:rPr>
          <w:rFonts w:asciiTheme="minorHAnsi" w:hAnsiTheme="minorHAnsi" w:cstheme="minorHAnsi"/>
          <w:color w:val="auto"/>
          <w:sz w:val="28"/>
          <w:szCs w:val="28"/>
        </w:rPr>
        <w:t>s</w:t>
      </w:r>
      <w:r w:rsidRPr="00ED01E8">
        <w:rPr>
          <w:rFonts w:asciiTheme="minorHAnsi" w:hAnsiTheme="minorHAnsi" w:cstheme="minorHAnsi"/>
          <w:color w:val="auto"/>
          <w:sz w:val="28"/>
          <w:szCs w:val="28"/>
        </w:rPr>
        <w:t xml:space="preserve">: </w:t>
      </w:r>
    </w:p>
    <w:p w14:paraId="7038F477" w14:textId="77777777" w:rsidR="00AB21A1" w:rsidRPr="00ED01E8" w:rsidRDefault="00AB21A1" w:rsidP="00AB21A1">
      <w:pPr>
        <w:pStyle w:val="ListParagraph"/>
        <w:numPr>
          <w:ilvl w:val="0"/>
          <w:numId w:val="12"/>
        </w:numPr>
      </w:pPr>
      <w:r w:rsidRPr="00ED01E8">
        <w:t>Meeting #2: November 8, 2022 – 3:00pm-4:30pm</w:t>
      </w:r>
    </w:p>
    <w:p w14:paraId="54075D8F" w14:textId="77777777" w:rsidR="00AB21A1" w:rsidRPr="00ED01E8" w:rsidRDefault="00AB21A1" w:rsidP="00AB21A1">
      <w:pPr>
        <w:pStyle w:val="ListParagraph"/>
        <w:numPr>
          <w:ilvl w:val="0"/>
          <w:numId w:val="12"/>
        </w:numPr>
      </w:pPr>
      <w:r w:rsidRPr="00ED01E8">
        <w:t>Meeting #3: November 15, 2022 – 3:00pm-4:30pm</w:t>
      </w:r>
    </w:p>
    <w:p w14:paraId="73F852B6" w14:textId="77777777" w:rsidR="00472407" w:rsidRPr="00833E38" w:rsidRDefault="00472407" w:rsidP="00197AC6">
      <w:pPr>
        <w:rPr>
          <w:highlight w:val="yellow"/>
        </w:rPr>
      </w:pPr>
    </w:p>
    <w:p w14:paraId="6AE46E14" w14:textId="15667D7D" w:rsidR="00F071F7" w:rsidRPr="007E6E67" w:rsidRDefault="00F071F7" w:rsidP="007E6E67">
      <w:pPr>
        <w:pStyle w:val="NormalWeb"/>
        <w:spacing w:after="0"/>
        <w:rPr>
          <w:rFonts w:asciiTheme="minorHAnsi" w:hAnsiTheme="minorHAnsi" w:cstheme="minorHAnsi"/>
          <w:sz w:val="28"/>
          <w:szCs w:val="28"/>
        </w:rPr>
      </w:pPr>
      <w:r w:rsidRPr="00C32FF3">
        <w:rPr>
          <w:rFonts w:ascii="Calibri" w:hAnsi="Calibri" w:cs="Calibri"/>
        </w:rPr>
        <w:t> </w:t>
      </w:r>
      <w:r w:rsidRPr="00C32FF3">
        <w:rPr>
          <w:rFonts w:asciiTheme="minorHAnsi" w:hAnsiTheme="minorHAnsi" w:cstheme="minorHAnsi"/>
          <w:sz w:val="28"/>
          <w:szCs w:val="28"/>
        </w:rPr>
        <w:t>Relevant Documents</w:t>
      </w:r>
    </w:p>
    <w:p w14:paraId="69378EFB" w14:textId="77777777" w:rsidR="00C32FF3" w:rsidRPr="00C32FF3" w:rsidRDefault="00C32FF3" w:rsidP="00C32FF3">
      <w:pPr>
        <w:pStyle w:val="NormalWeb"/>
        <w:numPr>
          <w:ilvl w:val="0"/>
          <w:numId w:val="3"/>
        </w:numPr>
        <w:spacing w:before="0" w:beforeAutospacing="0" w:after="0" w:afterAutospacing="0"/>
        <w:rPr>
          <w:rFonts w:ascii="Calibri" w:hAnsi="Calibri" w:cs="Calibri"/>
        </w:rPr>
      </w:pPr>
      <w:hyperlink r:id="rId9" w:tgtFrame="_blank" w:history="1">
        <w:r w:rsidRPr="00C32FF3">
          <w:rPr>
            <w:rStyle w:val="Hyperlink"/>
            <w:rFonts w:ascii="Calibri" w:hAnsi="Calibri" w:cs="Calibri"/>
          </w:rPr>
          <w:t xml:space="preserve">DRAFT Report </w:t>
        </w:r>
        <w:r w:rsidRPr="00C32FF3">
          <w:rPr>
            <w:rStyle w:val="Hyperlink"/>
            <w:rFonts w:ascii="Calibri" w:hAnsi="Calibri" w:cs="Calibri"/>
          </w:rPr>
          <w:t>C</w:t>
        </w:r>
        <w:r w:rsidRPr="00C32FF3">
          <w:rPr>
            <w:rStyle w:val="Hyperlink"/>
            <w:rFonts w:ascii="Calibri" w:hAnsi="Calibri" w:cs="Calibri"/>
          </w:rPr>
          <w:t>ommon Understandings: Republic Services and Benton County’s Current Rights and Obligations (IV.A.2)</w:t>
        </w:r>
      </w:hyperlink>
    </w:p>
    <w:p w14:paraId="137531E4" w14:textId="77777777" w:rsidR="00C32FF3" w:rsidRPr="00C32FF3" w:rsidRDefault="00C32FF3" w:rsidP="00C32FF3">
      <w:pPr>
        <w:pStyle w:val="NormalWeb"/>
        <w:numPr>
          <w:ilvl w:val="0"/>
          <w:numId w:val="3"/>
        </w:numPr>
        <w:spacing w:before="0" w:beforeAutospacing="0" w:after="0" w:afterAutospacing="0"/>
        <w:rPr>
          <w:rFonts w:ascii="Calibri" w:hAnsi="Calibri" w:cs="Calibri"/>
        </w:rPr>
      </w:pPr>
      <w:hyperlink r:id="rId10" w:tgtFrame="_blank" w:history="1">
        <w:r w:rsidRPr="00C32FF3">
          <w:rPr>
            <w:rStyle w:val="Hyperlink"/>
            <w:rFonts w:ascii="Calibri" w:hAnsi="Calibri" w:cs="Calibri"/>
          </w:rPr>
          <w:t>DRAFT Report Common Understandings: Other Entity Rights and Obligations (IV.A.3)</w:t>
        </w:r>
      </w:hyperlink>
    </w:p>
    <w:p w14:paraId="1207B13A" w14:textId="77777777" w:rsidR="00C32FF3" w:rsidRPr="00C32FF3" w:rsidRDefault="00C32FF3" w:rsidP="00C32FF3">
      <w:pPr>
        <w:pStyle w:val="NormalWeb"/>
        <w:numPr>
          <w:ilvl w:val="0"/>
          <w:numId w:val="3"/>
        </w:numPr>
        <w:spacing w:before="0" w:beforeAutospacing="0" w:after="0" w:afterAutospacing="0"/>
        <w:rPr>
          <w:rFonts w:ascii="Calibri" w:hAnsi="Calibri" w:cs="Calibri"/>
        </w:rPr>
      </w:pPr>
      <w:hyperlink r:id="rId11" w:tgtFrame="_blank" w:history="1">
        <w:r w:rsidRPr="00C32FF3">
          <w:rPr>
            <w:rStyle w:val="Hyperlink"/>
            <w:rFonts w:ascii="Calibri" w:hAnsi="Calibri" w:cs="Calibri"/>
          </w:rPr>
          <w:t>County Counsel Deference Memo </w:t>
        </w:r>
      </w:hyperlink>
    </w:p>
    <w:p w14:paraId="4C26B6CA" w14:textId="77777777" w:rsidR="00C32FF3" w:rsidRPr="00C32FF3" w:rsidRDefault="00C32FF3" w:rsidP="00C32FF3">
      <w:pPr>
        <w:pStyle w:val="NormalWeb"/>
        <w:numPr>
          <w:ilvl w:val="0"/>
          <w:numId w:val="3"/>
        </w:numPr>
        <w:spacing w:before="0" w:beforeAutospacing="0" w:after="0" w:afterAutospacing="0"/>
        <w:rPr>
          <w:rFonts w:ascii="Calibri" w:hAnsi="Calibri" w:cs="Calibri"/>
        </w:rPr>
      </w:pPr>
      <w:hyperlink r:id="rId12" w:tgtFrame="_blank" w:history="1">
        <w:r w:rsidRPr="00C32FF3">
          <w:rPr>
            <w:rStyle w:val="Hyperlink"/>
            <w:rFonts w:ascii="Calibri" w:hAnsi="Calibri" w:cs="Calibri"/>
          </w:rPr>
          <w:t>Staff Memo - Charge B - Dev Code Provisions</w:t>
        </w:r>
      </w:hyperlink>
    </w:p>
    <w:p w14:paraId="043F507B" w14:textId="77777777" w:rsidR="00C32FF3" w:rsidRPr="00C32FF3" w:rsidRDefault="00C32FF3" w:rsidP="00C32FF3">
      <w:pPr>
        <w:pStyle w:val="NormalWeb"/>
        <w:numPr>
          <w:ilvl w:val="0"/>
          <w:numId w:val="3"/>
        </w:numPr>
        <w:spacing w:before="0" w:beforeAutospacing="0" w:after="0" w:afterAutospacing="0"/>
        <w:rPr>
          <w:rFonts w:ascii="Calibri" w:hAnsi="Calibri" w:cs="Calibri"/>
        </w:rPr>
      </w:pPr>
      <w:hyperlink r:id="rId13" w:tgtFrame="_blank" w:history="1">
        <w:r w:rsidRPr="00C32FF3">
          <w:rPr>
            <w:rStyle w:val="Hyperlink"/>
            <w:rFonts w:ascii="Calibri" w:hAnsi="Calibri" w:cs="Calibri"/>
          </w:rPr>
          <w:t>DRAFT Report Common Understandings: Reporting requirements (IV.A.1.E) </w:t>
        </w:r>
      </w:hyperlink>
    </w:p>
    <w:p w14:paraId="0BFF4425" w14:textId="77777777" w:rsidR="00C32FF3" w:rsidRPr="00C32FF3" w:rsidRDefault="00C32FF3" w:rsidP="00C32FF3">
      <w:pPr>
        <w:pStyle w:val="NormalWeb"/>
        <w:numPr>
          <w:ilvl w:val="0"/>
          <w:numId w:val="3"/>
        </w:numPr>
        <w:spacing w:before="0" w:beforeAutospacing="0" w:after="0" w:afterAutospacing="0"/>
        <w:rPr>
          <w:rFonts w:ascii="Calibri" w:hAnsi="Calibri" w:cs="Calibri"/>
        </w:rPr>
      </w:pPr>
      <w:hyperlink r:id="rId14" w:tgtFrame="_blank" w:history="1">
        <w:r w:rsidRPr="00C32FF3">
          <w:rPr>
            <w:rStyle w:val="Hyperlink"/>
            <w:rFonts w:ascii="Calibri" w:hAnsi="Calibri" w:cs="Calibri"/>
          </w:rPr>
          <w:t>Common Understandings Feedback - Republic 9-30-22</w:t>
        </w:r>
      </w:hyperlink>
    </w:p>
    <w:p w14:paraId="5AE60187" w14:textId="77777777" w:rsidR="00C32FF3" w:rsidRPr="00C32FF3" w:rsidRDefault="00C32FF3" w:rsidP="00C32FF3">
      <w:pPr>
        <w:pStyle w:val="NormalWeb"/>
        <w:numPr>
          <w:ilvl w:val="0"/>
          <w:numId w:val="3"/>
        </w:numPr>
        <w:spacing w:before="0" w:beforeAutospacing="0" w:after="0" w:afterAutospacing="0"/>
        <w:rPr>
          <w:rFonts w:ascii="Calibri" w:hAnsi="Calibri" w:cs="Calibri"/>
        </w:rPr>
      </w:pPr>
      <w:hyperlink r:id="rId15" w:tgtFrame="_blank" w:history="1">
        <w:r w:rsidRPr="00C32FF3">
          <w:rPr>
            <w:rStyle w:val="Hyperlink"/>
            <w:rFonts w:ascii="Calibri" w:hAnsi="Calibri" w:cs="Calibri"/>
          </w:rPr>
          <w:t>Common Understandings Feedback (Attachment A) - Republic Services 9-30-22 </w:t>
        </w:r>
      </w:hyperlink>
    </w:p>
    <w:p w14:paraId="44D579D3" w14:textId="77777777" w:rsidR="00C32FF3" w:rsidRPr="00C32FF3" w:rsidRDefault="00C32FF3" w:rsidP="00C32FF3">
      <w:pPr>
        <w:pStyle w:val="NormalWeb"/>
        <w:numPr>
          <w:ilvl w:val="0"/>
          <w:numId w:val="3"/>
        </w:numPr>
        <w:spacing w:before="0" w:beforeAutospacing="0" w:after="0" w:afterAutospacing="0"/>
        <w:rPr>
          <w:rFonts w:ascii="Calibri" w:hAnsi="Calibri" w:cs="Calibri"/>
        </w:rPr>
      </w:pPr>
      <w:hyperlink r:id="rId16" w:tgtFrame="_blank" w:history="1">
        <w:r w:rsidRPr="00C32FF3">
          <w:rPr>
            <w:rStyle w:val="Hyperlink"/>
            <w:rFonts w:ascii="Calibri" w:hAnsi="Calibri" w:cs="Calibri"/>
          </w:rPr>
          <w:t>Master Working Document - Legal Issues and Land Use Review Subcommittee</w:t>
        </w:r>
      </w:hyperlink>
      <w:r w:rsidRPr="00C32FF3">
        <w:rPr>
          <w:rFonts w:ascii="Calibri" w:hAnsi="Calibri" w:cs="Calibri"/>
        </w:rPr>
        <w:t>;   (</w:t>
      </w:r>
      <w:hyperlink r:id="rId17" w:tgtFrame="_blank" w:history="1">
        <w:r w:rsidRPr="00C32FF3">
          <w:rPr>
            <w:rStyle w:val="Hyperlink"/>
            <w:rFonts w:ascii="Calibri" w:hAnsi="Calibri" w:cs="Calibri"/>
          </w:rPr>
          <w:t>Click Here to Download Word Version</w:t>
        </w:r>
      </w:hyperlink>
      <w:r w:rsidRPr="00C32FF3">
        <w:rPr>
          <w:rFonts w:ascii="Calibri" w:hAnsi="Calibri" w:cs="Calibri"/>
        </w:rPr>
        <w:t>)</w:t>
      </w:r>
    </w:p>
    <w:p w14:paraId="4CAF6F10" w14:textId="77777777" w:rsidR="00C32FF3" w:rsidRPr="00C32FF3" w:rsidRDefault="00C32FF3" w:rsidP="00C32FF3">
      <w:pPr>
        <w:pStyle w:val="NormalWeb"/>
        <w:numPr>
          <w:ilvl w:val="0"/>
          <w:numId w:val="3"/>
        </w:numPr>
        <w:spacing w:before="0" w:beforeAutospacing="0" w:after="0" w:afterAutospacing="0"/>
        <w:rPr>
          <w:rFonts w:ascii="Calibri" w:hAnsi="Calibri" w:cs="Calibri"/>
        </w:rPr>
      </w:pPr>
      <w:hyperlink r:id="rId18" w:tgtFrame="_blank" w:history="1">
        <w:r w:rsidRPr="00C32FF3">
          <w:rPr>
            <w:rStyle w:val="Hyperlink"/>
            <w:rFonts w:ascii="Calibri" w:hAnsi="Calibri" w:cs="Calibri"/>
          </w:rPr>
          <w:t>BCTT Tours Q&amp;A - 10/30/22</w:t>
        </w:r>
      </w:hyperlink>
    </w:p>
    <w:p w14:paraId="0144A9BC" w14:textId="77777777" w:rsidR="00C32FF3" w:rsidRPr="00C32FF3" w:rsidRDefault="00C32FF3" w:rsidP="00C32FF3">
      <w:pPr>
        <w:pStyle w:val="NormalWeb"/>
        <w:numPr>
          <w:ilvl w:val="0"/>
          <w:numId w:val="3"/>
        </w:numPr>
        <w:spacing w:before="0" w:beforeAutospacing="0" w:after="0" w:afterAutospacing="0"/>
        <w:rPr>
          <w:rFonts w:ascii="Calibri" w:hAnsi="Calibri" w:cs="Calibri"/>
        </w:rPr>
      </w:pPr>
      <w:hyperlink r:id="rId19" w:tgtFrame="_blank" w:history="1">
        <w:r w:rsidRPr="00C32FF3">
          <w:rPr>
            <w:rStyle w:val="Hyperlink"/>
            <w:rFonts w:ascii="Calibri" w:hAnsi="Calibri" w:cs="Calibri"/>
          </w:rPr>
          <w:t>Fuller - 11/3/22 - Regional Disposal Site Statutes</w:t>
        </w:r>
      </w:hyperlink>
    </w:p>
    <w:p w14:paraId="733E5BBC" w14:textId="4BCA1B0A" w:rsidR="00F071F7" w:rsidRPr="00C32FF3" w:rsidRDefault="00F071F7" w:rsidP="00C32FF3">
      <w:pPr>
        <w:pStyle w:val="NormalWeb"/>
        <w:spacing w:after="0"/>
        <w:ind w:left="720"/>
        <w:rPr>
          <w:rFonts w:ascii="Calibri" w:hAnsi="Calibri" w:cs="Calibri"/>
        </w:rPr>
      </w:pPr>
    </w:p>
    <w:sectPr w:rsidR="00F071F7" w:rsidRPr="00C32FF3">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A7D1" w14:textId="77777777" w:rsidR="00BA4D8B" w:rsidRDefault="00BA4D8B" w:rsidP="00BA4D8B">
      <w:pPr>
        <w:spacing w:after="0" w:line="240" w:lineRule="auto"/>
      </w:pPr>
      <w:r>
        <w:separator/>
      </w:r>
    </w:p>
  </w:endnote>
  <w:endnote w:type="continuationSeparator" w:id="0">
    <w:p w14:paraId="52A8B5F2" w14:textId="77777777" w:rsidR="00BA4D8B" w:rsidRDefault="00BA4D8B" w:rsidP="00BA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0101" w14:textId="0228B065" w:rsidR="00BA4D8B" w:rsidRDefault="00C32FF3">
    <w:pPr>
      <w:pStyle w:val="Footer"/>
    </w:pPr>
    <w:r>
      <w:t>Legal &amp; Land Use</w:t>
    </w:r>
    <w:r>
      <w:tab/>
    </w:r>
    <w:r>
      <w:tab/>
      <w:t>11/7/2022</w:t>
    </w:r>
  </w:p>
  <w:p w14:paraId="64F6EBEF" w14:textId="6E03C843" w:rsidR="00C32FF3" w:rsidRDefault="00C32FF3">
    <w:pPr>
      <w:pStyle w:val="Footer"/>
    </w:pPr>
    <w:r>
      <w:t>Subcommittee Mtgs Report</w:t>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49BD" w14:textId="77777777" w:rsidR="00BA4D8B" w:rsidRDefault="00BA4D8B" w:rsidP="00BA4D8B">
      <w:pPr>
        <w:spacing w:after="0" w:line="240" w:lineRule="auto"/>
      </w:pPr>
      <w:r>
        <w:separator/>
      </w:r>
    </w:p>
  </w:footnote>
  <w:footnote w:type="continuationSeparator" w:id="0">
    <w:p w14:paraId="573F853D" w14:textId="77777777" w:rsidR="00BA4D8B" w:rsidRDefault="00BA4D8B" w:rsidP="00BA4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897"/>
      <w:docPartObj>
        <w:docPartGallery w:val="Watermarks"/>
        <w:docPartUnique/>
      </w:docPartObj>
    </w:sdtPr>
    <w:sdtEndPr/>
    <w:sdtContent>
      <w:p w14:paraId="5407A641" w14:textId="51DFBAFB" w:rsidR="00BA4D8B" w:rsidRDefault="00C32FF3">
        <w:pPr>
          <w:pStyle w:val="Header"/>
        </w:pPr>
        <w:r>
          <w:rPr>
            <w:noProof/>
          </w:rPr>
          <w:pict w14:anchorId="30CED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C13"/>
    <w:multiLevelType w:val="hybridMultilevel"/>
    <w:tmpl w:val="117AD99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8DF73EA"/>
    <w:multiLevelType w:val="multilevel"/>
    <w:tmpl w:val="6B32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E62DC"/>
    <w:multiLevelType w:val="hybridMultilevel"/>
    <w:tmpl w:val="D0781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33FAA"/>
    <w:multiLevelType w:val="hybridMultilevel"/>
    <w:tmpl w:val="DC90FFC4"/>
    <w:numStyleLink w:val="NoteTaking"/>
  </w:abstractNum>
  <w:abstractNum w:abstractNumId="4" w15:restartNumberingAfterBreak="0">
    <w:nsid w:val="0F2A75F2"/>
    <w:multiLevelType w:val="multilevel"/>
    <w:tmpl w:val="1AD82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622A8"/>
    <w:multiLevelType w:val="hybridMultilevel"/>
    <w:tmpl w:val="8834D1F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9685B19"/>
    <w:multiLevelType w:val="multilevel"/>
    <w:tmpl w:val="2134428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A7F35CE"/>
    <w:multiLevelType w:val="multilevel"/>
    <w:tmpl w:val="C730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D4CB3"/>
    <w:multiLevelType w:val="hybridMultilevel"/>
    <w:tmpl w:val="6156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A0ADA"/>
    <w:multiLevelType w:val="hybridMultilevel"/>
    <w:tmpl w:val="DD5CD4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796E13"/>
    <w:multiLevelType w:val="multilevel"/>
    <w:tmpl w:val="4EDA6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6B6037"/>
    <w:multiLevelType w:val="hybridMultilevel"/>
    <w:tmpl w:val="C4D4A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D4899"/>
    <w:multiLevelType w:val="multilevel"/>
    <w:tmpl w:val="BFD2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32BFC"/>
    <w:multiLevelType w:val="multilevel"/>
    <w:tmpl w:val="2ED62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3383B"/>
    <w:multiLevelType w:val="hybridMultilevel"/>
    <w:tmpl w:val="4B08F3B4"/>
    <w:lvl w:ilvl="0" w:tplc="0409000F">
      <w:start w:val="1"/>
      <w:numFmt w:val="decimal"/>
      <w:lvlText w:val="%1."/>
      <w:lvlJc w:val="left"/>
      <w:pPr>
        <w:ind w:left="720" w:hanging="360"/>
      </w:pPr>
      <w:rPr>
        <w:rFonts w:hint="default"/>
      </w:rPr>
    </w:lvl>
    <w:lvl w:ilvl="1" w:tplc="E32CB606">
      <w:start w:val="1"/>
      <w:numFmt w:val="upp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32F68"/>
    <w:multiLevelType w:val="multilevel"/>
    <w:tmpl w:val="E16EB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07E08"/>
    <w:multiLevelType w:val="hybridMultilevel"/>
    <w:tmpl w:val="CE6470E4"/>
    <w:lvl w:ilvl="0" w:tplc="C016B1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64A0C"/>
    <w:multiLevelType w:val="hybridMultilevel"/>
    <w:tmpl w:val="E1367D1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C116EF4"/>
    <w:multiLevelType w:val="multilevel"/>
    <w:tmpl w:val="8C52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B515F"/>
    <w:multiLevelType w:val="hybridMultilevel"/>
    <w:tmpl w:val="DC90FFC4"/>
    <w:styleLink w:val="NoteTaking"/>
    <w:lvl w:ilvl="0" w:tplc="C4E63E26">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1" w:tplc="95DA5AF4">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B0B22032">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3" w:tplc="611E3D80">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A2DC4A72">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5" w:tplc="7EDC36D2">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A64A143C">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7" w:tplc="B010D11C">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C868F11A">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abstractNum>
  <w:abstractNum w:abstractNumId="20" w15:restartNumberingAfterBreak="0">
    <w:nsid w:val="615E17D6"/>
    <w:multiLevelType w:val="hybridMultilevel"/>
    <w:tmpl w:val="282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C784C"/>
    <w:multiLevelType w:val="hybridMultilevel"/>
    <w:tmpl w:val="71EC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0037A"/>
    <w:multiLevelType w:val="multilevel"/>
    <w:tmpl w:val="37C6F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3A4F19"/>
    <w:multiLevelType w:val="hybridMultilevel"/>
    <w:tmpl w:val="F03E0B2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79909852">
    <w:abstractNumId w:val="4"/>
  </w:num>
  <w:num w:numId="2" w16cid:durableId="1654528766">
    <w:abstractNumId w:val="18"/>
  </w:num>
  <w:num w:numId="3" w16cid:durableId="1103375607">
    <w:abstractNumId w:val="7"/>
  </w:num>
  <w:num w:numId="4" w16cid:durableId="1302423812">
    <w:abstractNumId w:val="15"/>
  </w:num>
  <w:num w:numId="5" w16cid:durableId="145556472">
    <w:abstractNumId w:val="2"/>
  </w:num>
  <w:num w:numId="6" w16cid:durableId="1568954290">
    <w:abstractNumId w:val="0"/>
  </w:num>
  <w:num w:numId="7" w16cid:durableId="1385057883">
    <w:abstractNumId w:val="21"/>
  </w:num>
  <w:num w:numId="8" w16cid:durableId="1017316389">
    <w:abstractNumId w:val="9"/>
  </w:num>
  <w:num w:numId="9" w16cid:durableId="1853372627">
    <w:abstractNumId w:val="17"/>
  </w:num>
  <w:num w:numId="10" w16cid:durableId="1123839824">
    <w:abstractNumId w:val="5"/>
  </w:num>
  <w:num w:numId="11" w16cid:durableId="1142966766">
    <w:abstractNumId w:val="11"/>
  </w:num>
  <w:num w:numId="12" w16cid:durableId="447814699">
    <w:abstractNumId w:val="20"/>
  </w:num>
  <w:num w:numId="13" w16cid:durableId="1793595305">
    <w:abstractNumId w:val="16"/>
  </w:num>
  <w:num w:numId="14" w16cid:durableId="154882270">
    <w:abstractNumId w:val="10"/>
  </w:num>
  <w:num w:numId="15" w16cid:durableId="201328690">
    <w:abstractNumId w:val="22"/>
  </w:num>
  <w:num w:numId="16" w16cid:durableId="687020753">
    <w:abstractNumId w:val="13"/>
  </w:num>
  <w:num w:numId="17" w16cid:durableId="1822845389">
    <w:abstractNumId w:val="3"/>
  </w:num>
  <w:num w:numId="18" w16cid:durableId="1089929683">
    <w:abstractNumId w:val="23"/>
  </w:num>
  <w:num w:numId="19" w16cid:durableId="1702705959">
    <w:abstractNumId w:val="19"/>
  </w:num>
  <w:num w:numId="20" w16cid:durableId="510536143">
    <w:abstractNumId w:val="8"/>
  </w:num>
  <w:num w:numId="21" w16cid:durableId="2066365911">
    <w:abstractNumId w:val="14"/>
  </w:num>
  <w:num w:numId="22" w16cid:durableId="440101993">
    <w:abstractNumId w:val="1"/>
  </w:num>
  <w:num w:numId="23" w16cid:durableId="451481264">
    <w:abstractNumId w:val="6"/>
  </w:num>
  <w:num w:numId="24" w16cid:durableId="365098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F7"/>
    <w:rsid w:val="000231DA"/>
    <w:rsid w:val="00057F82"/>
    <w:rsid w:val="0016725B"/>
    <w:rsid w:val="00197AC6"/>
    <w:rsid w:val="001C5EB7"/>
    <w:rsid w:val="00322819"/>
    <w:rsid w:val="00350D0A"/>
    <w:rsid w:val="003D63E1"/>
    <w:rsid w:val="00472407"/>
    <w:rsid w:val="004D72C3"/>
    <w:rsid w:val="00562A40"/>
    <w:rsid w:val="005C5A5C"/>
    <w:rsid w:val="005D082E"/>
    <w:rsid w:val="005F0D6E"/>
    <w:rsid w:val="006255E0"/>
    <w:rsid w:val="00627EF2"/>
    <w:rsid w:val="00683F75"/>
    <w:rsid w:val="006F0594"/>
    <w:rsid w:val="007E6E67"/>
    <w:rsid w:val="00801AC5"/>
    <w:rsid w:val="00833E38"/>
    <w:rsid w:val="00850712"/>
    <w:rsid w:val="008E11EB"/>
    <w:rsid w:val="00932A55"/>
    <w:rsid w:val="00947A41"/>
    <w:rsid w:val="0099257F"/>
    <w:rsid w:val="009D1CB4"/>
    <w:rsid w:val="00AB21A1"/>
    <w:rsid w:val="00B00281"/>
    <w:rsid w:val="00B0460A"/>
    <w:rsid w:val="00BA4D8B"/>
    <w:rsid w:val="00BC7305"/>
    <w:rsid w:val="00BE1A9C"/>
    <w:rsid w:val="00C32FF3"/>
    <w:rsid w:val="00C967D3"/>
    <w:rsid w:val="00E42C3F"/>
    <w:rsid w:val="00ED01E8"/>
    <w:rsid w:val="00ED2C6D"/>
    <w:rsid w:val="00EF715A"/>
    <w:rsid w:val="00F071F7"/>
    <w:rsid w:val="00F34CD6"/>
    <w:rsid w:val="00FD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597B01"/>
  <w15:chartTrackingRefBased/>
  <w15:docId w15:val="{17F97B86-5E68-49DD-9301-CDAB5114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1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71F7"/>
    <w:rPr>
      <w:color w:val="0563C1" w:themeColor="hyperlink"/>
      <w:u w:val="single"/>
    </w:rPr>
  </w:style>
  <w:style w:type="character" w:styleId="UnresolvedMention">
    <w:name w:val="Unresolved Mention"/>
    <w:basedOn w:val="DefaultParagraphFont"/>
    <w:uiPriority w:val="99"/>
    <w:semiHidden/>
    <w:unhideWhenUsed/>
    <w:rsid w:val="00F071F7"/>
    <w:rPr>
      <w:color w:val="605E5C"/>
      <w:shd w:val="clear" w:color="auto" w:fill="E1DFDD"/>
    </w:rPr>
  </w:style>
  <w:style w:type="character" w:customStyle="1" w:styleId="Heading1Char">
    <w:name w:val="Heading 1 Char"/>
    <w:basedOn w:val="DefaultParagraphFont"/>
    <w:link w:val="Heading1"/>
    <w:uiPriority w:val="9"/>
    <w:rsid w:val="00F071F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A4D8B"/>
    <w:pPr>
      <w:ind w:left="720"/>
      <w:contextualSpacing/>
    </w:pPr>
  </w:style>
  <w:style w:type="paragraph" w:styleId="Header">
    <w:name w:val="header"/>
    <w:basedOn w:val="Normal"/>
    <w:link w:val="HeaderChar"/>
    <w:uiPriority w:val="99"/>
    <w:unhideWhenUsed/>
    <w:rsid w:val="00BA4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8B"/>
  </w:style>
  <w:style w:type="paragraph" w:styleId="Footer">
    <w:name w:val="footer"/>
    <w:basedOn w:val="Normal"/>
    <w:link w:val="FooterChar"/>
    <w:uiPriority w:val="99"/>
    <w:unhideWhenUsed/>
    <w:rsid w:val="00BA4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D8B"/>
  </w:style>
  <w:style w:type="table" w:styleId="TableGrid">
    <w:name w:val="Table Grid"/>
    <w:basedOn w:val="TableNormal"/>
    <w:uiPriority w:val="39"/>
    <w:rsid w:val="001C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33E38"/>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sid w:val="00833E38"/>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numbering" w:customStyle="1" w:styleId="NoteTaking">
    <w:name w:val="Note Taking"/>
    <w:rsid w:val="00833E38"/>
    <w:pPr>
      <w:numPr>
        <w:numId w:val="19"/>
      </w:numPr>
    </w:pPr>
  </w:style>
  <w:style w:type="character" w:styleId="FollowedHyperlink">
    <w:name w:val="FollowedHyperlink"/>
    <w:basedOn w:val="DefaultParagraphFont"/>
    <w:uiPriority w:val="99"/>
    <w:semiHidden/>
    <w:unhideWhenUsed/>
    <w:rsid w:val="001672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7624">
      <w:bodyDiv w:val="1"/>
      <w:marLeft w:val="0"/>
      <w:marRight w:val="0"/>
      <w:marTop w:val="0"/>
      <w:marBottom w:val="0"/>
      <w:divBdr>
        <w:top w:val="none" w:sz="0" w:space="0" w:color="auto"/>
        <w:left w:val="none" w:sz="0" w:space="0" w:color="auto"/>
        <w:bottom w:val="none" w:sz="0" w:space="0" w:color="auto"/>
        <w:right w:val="none" w:sz="0" w:space="0" w:color="auto"/>
      </w:divBdr>
    </w:div>
    <w:div w:id="94056273">
      <w:bodyDiv w:val="1"/>
      <w:marLeft w:val="0"/>
      <w:marRight w:val="0"/>
      <w:marTop w:val="0"/>
      <w:marBottom w:val="0"/>
      <w:divBdr>
        <w:top w:val="none" w:sz="0" w:space="0" w:color="auto"/>
        <w:left w:val="none" w:sz="0" w:space="0" w:color="auto"/>
        <w:bottom w:val="none" w:sz="0" w:space="0" w:color="auto"/>
        <w:right w:val="none" w:sz="0" w:space="0" w:color="auto"/>
      </w:divBdr>
    </w:div>
    <w:div w:id="424499517">
      <w:bodyDiv w:val="1"/>
      <w:marLeft w:val="0"/>
      <w:marRight w:val="0"/>
      <w:marTop w:val="0"/>
      <w:marBottom w:val="0"/>
      <w:divBdr>
        <w:top w:val="none" w:sz="0" w:space="0" w:color="auto"/>
        <w:left w:val="none" w:sz="0" w:space="0" w:color="auto"/>
        <w:bottom w:val="none" w:sz="0" w:space="0" w:color="auto"/>
        <w:right w:val="none" w:sz="0" w:space="0" w:color="auto"/>
      </w:divBdr>
    </w:div>
    <w:div w:id="538469657">
      <w:bodyDiv w:val="1"/>
      <w:marLeft w:val="0"/>
      <w:marRight w:val="0"/>
      <w:marTop w:val="0"/>
      <w:marBottom w:val="0"/>
      <w:divBdr>
        <w:top w:val="none" w:sz="0" w:space="0" w:color="auto"/>
        <w:left w:val="none" w:sz="0" w:space="0" w:color="auto"/>
        <w:bottom w:val="none" w:sz="0" w:space="0" w:color="auto"/>
        <w:right w:val="none" w:sz="0" w:space="0" w:color="auto"/>
      </w:divBdr>
      <w:divsChild>
        <w:div w:id="2105565848">
          <w:marLeft w:val="0"/>
          <w:marRight w:val="0"/>
          <w:marTop w:val="0"/>
          <w:marBottom w:val="0"/>
          <w:divBdr>
            <w:top w:val="none" w:sz="0" w:space="0" w:color="auto"/>
            <w:left w:val="none" w:sz="0" w:space="0" w:color="auto"/>
            <w:bottom w:val="none" w:sz="0" w:space="0" w:color="auto"/>
            <w:right w:val="none" w:sz="0" w:space="0" w:color="auto"/>
          </w:divBdr>
        </w:div>
        <w:div w:id="314918834">
          <w:marLeft w:val="0"/>
          <w:marRight w:val="0"/>
          <w:marTop w:val="0"/>
          <w:marBottom w:val="0"/>
          <w:divBdr>
            <w:top w:val="none" w:sz="0" w:space="0" w:color="auto"/>
            <w:left w:val="none" w:sz="0" w:space="0" w:color="auto"/>
            <w:bottom w:val="none" w:sz="0" w:space="0" w:color="auto"/>
            <w:right w:val="none" w:sz="0" w:space="0" w:color="auto"/>
          </w:divBdr>
          <w:divsChild>
            <w:div w:id="572005812">
              <w:marLeft w:val="0"/>
              <w:marRight w:val="0"/>
              <w:marTop w:val="0"/>
              <w:marBottom w:val="0"/>
              <w:divBdr>
                <w:top w:val="none" w:sz="0" w:space="0" w:color="auto"/>
                <w:left w:val="none" w:sz="0" w:space="0" w:color="auto"/>
                <w:bottom w:val="none" w:sz="0" w:space="0" w:color="auto"/>
                <w:right w:val="none" w:sz="0" w:space="0" w:color="auto"/>
              </w:divBdr>
              <w:divsChild>
                <w:div w:id="786002783">
                  <w:marLeft w:val="0"/>
                  <w:marRight w:val="0"/>
                  <w:marTop w:val="0"/>
                  <w:marBottom w:val="0"/>
                  <w:divBdr>
                    <w:top w:val="none" w:sz="0" w:space="0" w:color="auto"/>
                    <w:left w:val="none" w:sz="0" w:space="0" w:color="auto"/>
                    <w:bottom w:val="none" w:sz="0" w:space="0" w:color="auto"/>
                    <w:right w:val="none" w:sz="0" w:space="0" w:color="auto"/>
                  </w:divBdr>
                  <w:divsChild>
                    <w:div w:id="884637346">
                      <w:marLeft w:val="0"/>
                      <w:marRight w:val="0"/>
                      <w:marTop w:val="0"/>
                      <w:marBottom w:val="0"/>
                      <w:divBdr>
                        <w:top w:val="none" w:sz="0" w:space="0" w:color="auto"/>
                        <w:left w:val="none" w:sz="0" w:space="0" w:color="auto"/>
                        <w:bottom w:val="none" w:sz="0" w:space="0" w:color="auto"/>
                        <w:right w:val="none" w:sz="0" w:space="0" w:color="auto"/>
                      </w:divBdr>
                      <w:divsChild>
                        <w:div w:id="320043982">
                          <w:marLeft w:val="0"/>
                          <w:marRight w:val="0"/>
                          <w:marTop w:val="0"/>
                          <w:marBottom w:val="0"/>
                          <w:divBdr>
                            <w:top w:val="none" w:sz="0" w:space="0" w:color="auto"/>
                            <w:left w:val="none" w:sz="0" w:space="0" w:color="auto"/>
                            <w:bottom w:val="none" w:sz="0" w:space="0" w:color="auto"/>
                            <w:right w:val="none" w:sz="0" w:space="0" w:color="auto"/>
                          </w:divBdr>
                          <w:divsChild>
                            <w:div w:id="172496878">
                              <w:marLeft w:val="0"/>
                              <w:marRight w:val="0"/>
                              <w:marTop w:val="0"/>
                              <w:marBottom w:val="0"/>
                              <w:divBdr>
                                <w:top w:val="none" w:sz="0" w:space="0" w:color="auto"/>
                                <w:left w:val="none" w:sz="0" w:space="0" w:color="auto"/>
                                <w:bottom w:val="none" w:sz="0" w:space="0" w:color="auto"/>
                                <w:right w:val="none" w:sz="0" w:space="0" w:color="auto"/>
                              </w:divBdr>
                              <w:divsChild>
                                <w:div w:id="662314470">
                                  <w:marLeft w:val="0"/>
                                  <w:marRight w:val="0"/>
                                  <w:marTop w:val="0"/>
                                  <w:marBottom w:val="0"/>
                                  <w:divBdr>
                                    <w:top w:val="none" w:sz="0" w:space="0" w:color="auto"/>
                                    <w:left w:val="none" w:sz="0" w:space="0" w:color="auto"/>
                                    <w:bottom w:val="none" w:sz="0" w:space="0" w:color="auto"/>
                                    <w:right w:val="none" w:sz="0" w:space="0" w:color="auto"/>
                                  </w:divBdr>
                                  <w:divsChild>
                                    <w:div w:id="841049690">
                                      <w:marLeft w:val="0"/>
                                      <w:marRight w:val="0"/>
                                      <w:marTop w:val="0"/>
                                      <w:marBottom w:val="0"/>
                                      <w:divBdr>
                                        <w:top w:val="none" w:sz="0" w:space="0" w:color="auto"/>
                                        <w:left w:val="none" w:sz="0" w:space="0" w:color="auto"/>
                                        <w:bottom w:val="none" w:sz="0" w:space="0" w:color="auto"/>
                                        <w:right w:val="none" w:sz="0" w:space="0" w:color="auto"/>
                                      </w:divBdr>
                                      <w:divsChild>
                                        <w:div w:id="2115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181021">
      <w:bodyDiv w:val="1"/>
      <w:marLeft w:val="0"/>
      <w:marRight w:val="0"/>
      <w:marTop w:val="0"/>
      <w:marBottom w:val="0"/>
      <w:divBdr>
        <w:top w:val="none" w:sz="0" w:space="0" w:color="auto"/>
        <w:left w:val="none" w:sz="0" w:space="0" w:color="auto"/>
        <w:bottom w:val="none" w:sz="0" w:space="0" w:color="auto"/>
        <w:right w:val="none" w:sz="0" w:space="0" w:color="auto"/>
      </w:divBdr>
    </w:div>
    <w:div w:id="1026442414">
      <w:bodyDiv w:val="1"/>
      <w:marLeft w:val="0"/>
      <w:marRight w:val="0"/>
      <w:marTop w:val="0"/>
      <w:marBottom w:val="0"/>
      <w:divBdr>
        <w:top w:val="none" w:sz="0" w:space="0" w:color="auto"/>
        <w:left w:val="none" w:sz="0" w:space="0" w:color="auto"/>
        <w:bottom w:val="none" w:sz="0" w:space="0" w:color="auto"/>
        <w:right w:val="none" w:sz="0" w:space="0" w:color="auto"/>
      </w:divBdr>
    </w:div>
    <w:div w:id="1453552195">
      <w:bodyDiv w:val="1"/>
      <w:marLeft w:val="0"/>
      <w:marRight w:val="0"/>
      <w:marTop w:val="0"/>
      <w:marBottom w:val="0"/>
      <w:divBdr>
        <w:top w:val="none" w:sz="0" w:space="0" w:color="auto"/>
        <w:left w:val="none" w:sz="0" w:space="0" w:color="auto"/>
        <w:bottom w:val="none" w:sz="0" w:space="0" w:color="auto"/>
        <w:right w:val="none" w:sz="0" w:space="0" w:color="auto"/>
      </w:divBdr>
    </w:div>
    <w:div w:id="1968856676">
      <w:bodyDiv w:val="1"/>
      <w:marLeft w:val="0"/>
      <w:marRight w:val="0"/>
      <w:marTop w:val="0"/>
      <w:marBottom w:val="0"/>
      <w:divBdr>
        <w:top w:val="none" w:sz="0" w:space="0" w:color="auto"/>
        <w:left w:val="none" w:sz="0" w:space="0" w:color="auto"/>
        <w:bottom w:val="none" w:sz="0" w:space="0" w:color="auto"/>
        <w:right w:val="none" w:sz="0" w:space="0" w:color="auto"/>
      </w:divBdr>
    </w:div>
    <w:div w:id="2075396336">
      <w:bodyDiv w:val="1"/>
      <w:marLeft w:val="0"/>
      <w:marRight w:val="0"/>
      <w:marTop w:val="0"/>
      <w:marBottom w:val="0"/>
      <w:divBdr>
        <w:top w:val="none" w:sz="0" w:space="0" w:color="auto"/>
        <w:left w:val="none" w:sz="0" w:space="0" w:color="auto"/>
        <w:bottom w:val="none" w:sz="0" w:space="0" w:color="auto"/>
        <w:right w:val="none" w:sz="0" w:space="0" w:color="auto"/>
      </w:divBdr>
    </w:div>
    <w:div w:id="20781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benton.or.us/sites/default/files/fileattachments/community_development/page/8323/legal_issues_land_use_review_subcommittee_-_master_working_document.pdf" TargetMode="External"/><Relationship Id="rId13" Type="http://schemas.openxmlformats.org/officeDocument/2006/relationships/hyperlink" Target="https://www.co.benton.or.us/sites/default/files/fileattachments/community_development/page/8208/draft_report_iv_a_common_understandings_1_e_reporting_requirements.pdf" TargetMode="External"/><Relationship Id="rId18" Type="http://schemas.openxmlformats.org/officeDocument/2006/relationships/hyperlink" Target="https://www.co.benton.or.us/sites/default/files/fileattachments/community_development/page/8208/bctt_tours_qa_final_version_10-30-22.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uoregon.zoom.us/rec/share/cjkbyviyGeGuYDYZeLxewqpdRIES3xXnb6lhup2iMXfSyXWcUxvOB4cIoL4LegS7.J-GuutzOhR37SpAj" TargetMode="External"/><Relationship Id="rId12" Type="http://schemas.openxmlformats.org/officeDocument/2006/relationships/hyperlink" Target="https://www.co.benton.or.us/sites/default/files/fileattachments/community_development/page/8208/staff_memo_to_bctt_workgroup_-_charge_b_-_dev_code_provisions.pdf" TargetMode="External"/><Relationship Id="rId17" Type="http://schemas.openxmlformats.org/officeDocument/2006/relationships/hyperlink" Target="https://www.co.benton.or.us/sites/default/files/fileattachments/community_development/page/8323/legal_issues_land_use_review_subcommittee_-_master_working_document.docx" TargetMode="External"/><Relationship Id="rId2" Type="http://schemas.openxmlformats.org/officeDocument/2006/relationships/styles" Target="styles.xml"/><Relationship Id="rId16" Type="http://schemas.openxmlformats.org/officeDocument/2006/relationships/hyperlink" Target="http://co.benton.or.us/sites/default/files/fileattachments/community_development/page/8323/legal_issues_land_use_review_subcommittee_-_master_working_document.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benton.or.us/sites/default/files/fileattachments/community_development/page/8208/county_counsel_deference_memo_220926.pdf" TargetMode="External"/><Relationship Id="rId5" Type="http://schemas.openxmlformats.org/officeDocument/2006/relationships/footnotes" Target="footnotes.xml"/><Relationship Id="rId15" Type="http://schemas.openxmlformats.org/officeDocument/2006/relationships/hyperlink" Target="https://www.co.benton.or.us/sites/default/files/fileattachments/community_development/page/8208/rs_9-30-22_attachment_a_to_common_understandings_feedback.pdf" TargetMode="External"/><Relationship Id="rId23" Type="http://schemas.openxmlformats.org/officeDocument/2006/relationships/theme" Target="theme/theme1.xml"/><Relationship Id="rId10" Type="http://schemas.openxmlformats.org/officeDocument/2006/relationships/hyperlink" Target="https://www.co.benton.or.us/sites/default/files/fileattachments/community_development/page/8208/draft_report_iv_a_common_understandings_3_entity_rights_obligations.pdf" TargetMode="External"/><Relationship Id="rId19" Type="http://schemas.openxmlformats.org/officeDocument/2006/relationships/hyperlink" Target="https://www.co.benton.or.us/sites/default/files/fileattachments/community_development/page/8208/fuller_110322_regional_disposal_site_statutes_1.pdf" TargetMode="External"/><Relationship Id="rId4" Type="http://schemas.openxmlformats.org/officeDocument/2006/relationships/webSettings" Target="webSettings.xml"/><Relationship Id="rId9" Type="http://schemas.openxmlformats.org/officeDocument/2006/relationships/hyperlink" Target="https://www.co.benton.or.us/sites/default/files/fileattachments/community_development/page/8208/draft_report_iv_a_common_understandings_2_rights_obligations.pdf" TargetMode="External"/><Relationship Id="rId14" Type="http://schemas.openxmlformats.org/officeDocument/2006/relationships/hyperlink" Target="https://www.co.benton.or.us/sites/default/files/fileattachments/community_development/page/8208/common_understandings_feedback_-_republic_9-30-2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Benton County - Oregon</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REDICK Daniel</dc:creator>
  <cp:keywords/>
  <dc:description/>
  <cp:lastModifiedBy>VERRET Greg J</cp:lastModifiedBy>
  <cp:revision>19</cp:revision>
  <cp:lastPrinted>2022-10-27T16:35:00Z</cp:lastPrinted>
  <dcterms:created xsi:type="dcterms:W3CDTF">2022-11-02T21:46:00Z</dcterms:created>
  <dcterms:modified xsi:type="dcterms:W3CDTF">2022-11-07T00:08:00Z</dcterms:modified>
</cp:coreProperties>
</file>