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5B1A" w14:textId="0228E6B6" w:rsidR="00007E3F" w:rsidRPr="00E329E5" w:rsidRDefault="00007E3F" w:rsidP="008501DA">
      <w:pPr>
        <w:jc w:val="center"/>
        <w:rPr>
          <w:b/>
          <w:bCs/>
          <w:color w:val="0070C0"/>
          <w:sz w:val="36"/>
          <w:szCs w:val="32"/>
        </w:rPr>
      </w:pPr>
      <w:r w:rsidRPr="00E329E5">
        <w:rPr>
          <w:b/>
          <w:bCs/>
          <w:color w:val="0070C0"/>
          <w:sz w:val="36"/>
          <w:szCs w:val="32"/>
        </w:rPr>
        <w:t>BCTT Key Findings and Recommendations – Draft #4</w:t>
      </w:r>
    </w:p>
    <w:sdt>
      <w:sdtPr>
        <w:rPr>
          <w:rFonts w:ascii="Palatino Linotype" w:eastAsiaTheme="minorHAnsi" w:hAnsi="Palatino Linotype" w:cstheme="minorBidi"/>
          <w:color w:val="auto"/>
          <w:sz w:val="22"/>
          <w:szCs w:val="20"/>
        </w:rPr>
        <w:id w:val="914130786"/>
        <w:docPartObj>
          <w:docPartGallery w:val="Table of Contents"/>
          <w:docPartUnique/>
        </w:docPartObj>
      </w:sdtPr>
      <w:sdtEndPr>
        <w:rPr>
          <w:b/>
          <w:bCs/>
          <w:noProof/>
        </w:rPr>
      </w:sdtEndPr>
      <w:sdtContent>
        <w:p w14:paraId="61FE6F1F" w14:textId="5691322A" w:rsidR="00007E3F" w:rsidRPr="00E329E5" w:rsidRDefault="00007E3F">
          <w:pPr>
            <w:pStyle w:val="TOCHeading"/>
            <w:rPr>
              <w:b/>
              <w:bCs/>
              <w:color w:val="0070C0"/>
            </w:rPr>
          </w:pPr>
          <w:r w:rsidRPr="00E329E5">
            <w:rPr>
              <w:b/>
              <w:bCs/>
              <w:color w:val="0070C0"/>
            </w:rPr>
            <w:t>Contents</w:t>
          </w:r>
        </w:p>
        <w:p w14:paraId="36B7B84F" w14:textId="77777777" w:rsidR="00A92F1F" w:rsidRDefault="00A92F1F">
          <w:pPr>
            <w:pStyle w:val="TOC1"/>
            <w:tabs>
              <w:tab w:val="right" w:leader="dot" w:pos="9350"/>
            </w:tabs>
          </w:pPr>
        </w:p>
        <w:p w14:paraId="0FDEF9D0" w14:textId="68102B99" w:rsidR="005A185B" w:rsidRDefault="00007E3F">
          <w:pPr>
            <w:pStyle w:val="TOC1"/>
            <w:tabs>
              <w:tab w:val="right" w:leader="dot" w:pos="9350"/>
            </w:tabs>
            <w:rPr>
              <w:rFonts w:asciiTheme="minorHAnsi" w:eastAsiaTheme="minorEastAsia" w:hAnsiTheme="minorHAnsi"/>
              <w:noProof/>
              <w:szCs w:val="22"/>
            </w:rPr>
          </w:pPr>
          <w:r>
            <w:fldChar w:fldCharType="begin"/>
          </w:r>
          <w:r>
            <w:instrText xml:space="preserve"> TOC \o "1-3" \h \z \u </w:instrText>
          </w:r>
          <w:r>
            <w:fldChar w:fldCharType="separate"/>
          </w:r>
          <w:hyperlink w:anchor="_Toc127990003" w:history="1">
            <w:r w:rsidR="005A185B" w:rsidRPr="00942935">
              <w:rPr>
                <w:rStyle w:val="Hyperlink"/>
                <w:rFonts w:eastAsia="Calibri"/>
                <w:noProof/>
              </w:rPr>
              <w:t>Sustainable Materials Management Plan (SMMP) C.1. Subcommittee</w:t>
            </w:r>
            <w:r w:rsidR="005A185B">
              <w:rPr>
                <w:noProof/>
                <w:webHidden/>
              </w:rPr>
              <w:tab/>
            </w:r>
            <w:r w:rsidR="005A185B">
              <w:rPr>
                <w:noProof/>
                <w:webHidden/>
              </w:rPr>
              <w:fldChar w:fldCharType="begin"/>
            </w:r>
            <w:r w:rsidR="005A185B">
              <w:rPr>
                <w:noProof/>
                <w:webHidden/>
              </w:rPr>
              <w:instrText xml:space="preserve"> PAGEREF _Toc127990003 \h </w:instrText>
            </w:r>
            <w:r w:rsidR="005A185B">
              <w:rPr>
                <w:noProof/>
                <w:webHidden/>
              </w:rPr>
            </w:r>
            <w:r w:rsidR="005A185B">
              <w:rPr>
                <w:noProof/>
                <w:webHidden/>
              </w:rPr>
              <w:fldChar w:fldCharType="separate"/>
            </w:r>
            <w:r w:rsidR="0068404A">
              <w:rPr>
                <w:noProof/>
                <w:webHidden/>
              </w:rPr>
              <w:t>1</w:t>
            </w:r>
            <w:r w:rsidR="005A185B">
              <w:rPr>
                <w:noProof/>
                <w:webHidden/>
              </w:rPr>
              <w:fldChar w:fldCharType="end"/>
            </w:r>
          </w:hyperlink>
        </w:p>
        <w:p w14:paraId="782269B0" w14:textId="4E8BB5BD" w:rsidR="005A185B" w:rsidRDefault="00000000">
          <w:pPr>
            <w:pStyle w:val="TOC1"/>
            <w:tabs>
              <w:tab w:val="right" w:leader="dot" w:pos="9350"/>
            </w:tabs>
            <w:rPr>
              <w:rFonts w:asciiTheme="minorHAnsi" w:eastAsiaTheme="minorEastAsia" w:hAnsiTheme="minorHAnsi"/>
              <w:noProof/>
              <w:szCs w:val="22"/>
            </w:rPr>
          </w:pPr>
          <w:hyperlink w:anchor="_Toc127990004" w:history="1">
            <w:r w:rsidR="005A185B" w:rsidRPr="00942935">
              <w:rPr>
                <w:rStyle w:val="Hyperlink"/>
                <w:noProof/>
              </w:rPr>
              <w:t>Landfill Size/Capacity/LongevityA.1. Subcommittee</w:t>
            </w:r>
            <w:r w:rsidR="005A185B">
              <w:rPr>
                <w:noProof/>
                <w:webHidden/>
              </w:rPr>
              <w:tab/>
            </w:r>
            <w:r w:rsidR="005A185B">
              <w:rPr>
                <w:noProof/>
                <w:webHidden/>
              </w:rPr>
              <w:fldChar w:fldCharType="begin"/>
            </w:r>
            <w:r w:rsidR="005A185B">
              <w:rPr>
                <w:noProof/>
                <w:webHidden/>
              </w:rPr>
              <w:instrText xml:space="preserve"> PAGEREF _Toc127990004 \h </w:instrText>
            </w:r>
            <w:r w:rsidR="005A185B">
              <w:rPr>
                <w:noProof/>
                <w:webHidden/>
              </w:rPr>
            </w:r>
            <w:r w:rsidR="005A185B">
              <w:rPr>
                <w:noProof/>
                <w:webHidden/>
              </w:rPr>
              <w:fldChar w:fldCharType="separate"/>
            </w:r>
            <w:r w:rsidR="0068404A">
              <w:rPr>
                <w:noProof/>
                <w:webHidden/>
              </w:rPr>
              <w:t>6</w:t>
            </w:r>
            <w:r w:rsidR="005A185B">
              <w:rPr>
                <w:noProof/>
                <w:webHidden/>
              </w:rPr>
              <w:fldChar w:fldCharType="end"/>
            </w:r>
          </w:hyperlink>
        </w:p>
        <w:p w14:paraId="5B3D8FEE" w14:textId="590CD232" w:rsidR="005A185B" w:rsidRDefault="00000000">
          <w:pPr>
            <w:pStyle w:val="TOC1"/>
            <w:tabs>
              <w:tab w:val="right" w:leader="dot" w:pos="9350"/>
            </w:tabs>
            <w:rPr>
              <w:rFonts w:asciiTheme="minorHAnsi" w:eastAsiaTheme="minorEastAsia" w:hAnsiTheme="minorHAnsi"/>
              <w:noProof/>
              <w:szCs w:val="22"/>
            </w:rPr>
          </w:pPr>
          <w:hyperlink w:anchor="_Toc127990005" w:history="1">
            <w:r w:rsidR="005A185B" w:rsidRPr="00942935">
              <w:rPr>
                <w:rStyle w:val="Hyperlink"/>
                <w:noProof/>
              </w:rPr>
              <w:t>Legal Issues and Land Use Review A.3 and B.1 Subcommittee</w:t>
            </w:r>
            <w:r w:rsidR="005A185B">
              <w:rPr>
                <w:noProof/>
                <w:webHidden/>
              </w:rPr>
              <w:tab/>
            </w:r>
            <w:r w:rsidR="005A185B">
              <w:rPr>
                <w:noProof/>
                <w:webHidden/>
              </w:rPr>
              <w:fldChar w:fldCharType="begin"/>
            </w:r>
            <w:r w:rsidR="005A185B">
              <w:rPr>
                <w:noProof/>
                <w:webHidden/>
              </w:rPr>
              <w:instrText xml:space="preserve"> PAGEREF _Toc127990005 \h </w:instrText>
            </w:r>
            <w:r w:rsidR="005A185B">
              <w:rPr>
                <w:noProof/>
                <w:webHidden/>
              </w:rPr>
            </w:r>
            <w:r w:rsidR="005A185B">
              <w:rPr>
                <w:noProof/>
                <w:webHidden/>
              </w:rPr>
              <w:fldChar w:fldCharType="separate"/>
            </w:r>
            <w:r w:rsidR="0068404A">
              <w:rPr>
                <w:noProof/>
                <w:webHidden/>
              </w:rPr>
              <w:t>12</w:t>
            </w:r>
            <w:r w:rsidR="005A185B">
              <w:rPr>
                <w:noProof/>
                <w:webHidden/>
              </w:rPr>
              <w:fldChar w:fldCharType="end"/>
            </w:r>
          </w:hyperlink>
        </w:p>
        <w:p w14:paraId="63C77533" w14:textId="7F56C531" w:rsidR="005A185B" w:rsidRDefault="00000000">
          <w:pPr>
            <w:pStyle w:val="TOC1"/>
            <w:tabs>
              <w:tab w:val="right" w:leader="dot" w:pos="9350"/>
            </w:tabs>
            <w:rPr>
              <w:rFonts w:asciiTheme="minorHAnsi" w:eastAsiaTheme="minorEastAsia" w:hAnsiTheme="minorHAnsi"/>
              <w:noProof/>
              <w:szCs w:val="22"/>
            </w:rPr>
          </w:pPr>
          <w:hyperlink w:anchor="_Toc127990006" w:history="1">
            <w:r w:rsidR="005A185B" w:rsidRPr="00942935">
              <w:rPr>
                <w:rStyle w:val="Hyperlink"/>
                <w:noProof/>
              </w:rPr>
              <w:t>Compliance with Past Land Use Actions A.2 Subcommittee</w:t>
            </w:r>
            <w:r w:rsidR="005A185B">
              <w:rPr>
                <w:noProof/>
                <w:webHidden/>
              </w:rPr>
              <w:tab/>
            </w:r>
            <w:r w:rsidR="005A185B">
              <w:rPr>
                <w:noProof/>
                <w:webHidden/>
              </w:rPr>
              <w:fldChar w:fldCharType="begin"/>
            </w:r>
            <w:r w:rsidR="005A185B">
              <w:rPr>
                <w:noProof/>
                <w:webHidden/>
              </w:rPr>
              <w:instrText xml:space="preserve"> PAGEREF _Toc127990006 \h </w:instrText>
            </w:r>
            <w:r w:rsidR="005A185B">
              <w:rPr>
                <w:noProof/>
                <w:webHidden/>
              </w:rPr>
            </w:r>
            <w:r w:rsidR="005A185B">
              <w:rPr>
                <w:noProof/>
                <w:webHidden/>
              </w:rPr>
              <w:fldChar w:fldCharType="separate"/>
            </w:r>
            <w:r w:rsidR="0068404A">
              <w:rPr>
                <w:noProof/>
                <w:webHidden/>
              </w:rPr>
              <w:t>20</w:t>
            </w:r>
            <w:r w:rsidR="005A185B">
              <w:rPr>
                <w:noProof/>
                <w:webHidden/>
              </w:rPr>
              <w:fldChar w:fldCharType="end"/>
            </w:r>
          </w:hyperlink>
        </w:p>
        <w:p w14:paraId="75E81A43" w14:textId="5821387E" w:rsidR="005A185B" w:rsidRDefault="00000000">
          <w:pPr>
            <w:pStyle w:val="TOC1"/>
            <w:tabs>
              <w:tab w:val="right" w:leader="dot" w:pos="9350"/>
            </w:tabs>
            <w:rPr>
              <w:rFonts w:asciiTheme="minorHAnsi" w:eastAsiaTheme="minorEastAsia" w:hAnsiTheme="minorHAnsi"/>
              <w:noProof/>
              <w:szCs w:val="22"/>
            </w:rPr>
          </w:pPr>
          <w:hyperlink w:anchor="_Toc127990007" w:history="1">
            <w:r w:rsidR="005A185B" w:rsidRPr="00942935">
              <w:rPr>
                <w:rStyle w:val="Hyperlink"/>
                <w:noProof/>
              </w:rPr>
              <w:t>Community Education &amp; Outreach E.1. Subcommittee</w:t>
            </w:r>
            <w:r w:rsidR="005A185B">
              <w:rPr>
                <w:noProof/>
                <w:webHidden/>
              </w:rPr>
              <w:tab/>
            </w:r>
            <w:r w:rsidR="005A185B">
              <w:rPr>
                <w:noProof/>
                <w:webHidden/>
              </w:rPr>
              <w:fldChar w:fldCharType="begin"/>
            </w:r>
            <w:r w:rsidR="005A185B">
              <w:rPr>
                <w:noProof/>
                <w:webHidden/>
              </w:rPr>
              <w:instrText xml:space="preserve"> PAGEREF _Toc127990007 \h </w:instrText>
            </w:r>
            <w:r w:rsidR="005A185B">
              <w:rPr>
                <w:noProof/>
                <w:webHidden/>
              </w:rPr>
            </w:r>
            <w:r w:rsidR="005A185B">
              <w:rPr>
                <w:noProof/>
                <w:webHidden/>
              </w:rPr>
              <w:fldChar w:fldCharType="separate"/>
            </w:r>
            <w:r w:rsidR="0068404A">
              <w:rPr>
                <w:noProof/>
                <w:webHidden/>
              </w:rPr>
              <w:t>25</w:t>
            </w:r>
            <w:r w:rsidR="005A185B">
              <w:rPr>
                <w:noProof/>
                <w:webHidden/>
              </w:rPr>
              <w:fldChar w:fldCharType="end"/>
            </w:r>
          </w:hyperlink>
        </w:p>
        <w:p w14:paraId="78F9E31B" w14:textId="64447C64" w:rsidR="00007E3F" w:rsidRDefault="00007E3F">
          <w:r>
            <w:rPr>
              <w:b/>
              <w:bCs/>
              <w:noProof/>
            </w:rPr>
            <w:fldChar w:fldCharType="end"/>
          </w:r>
        </w:p>
      </w:sdtContent>
    </w:sdt>
    <w:p w14:paraId="3CCEEF0F" w14:textId="77777777" w:rsidR="00D942F1" w:rsidRPr="00A92F1F" w:rsidRDefault="00D942F1">
      <w:pPr>
        <w:rPr>
          <w:rFonts w:eastAsia="Calibri"/>
          <w:b/>
          <w:bCs/>
          <w:color w:val="0070C0"/>
        </w:rPr>
      </w:pPr>
      <w:bookmarkStart w:id="0" w:name="_Toc127990003"/>
      <w:r w:rsidRPr="00A92F1F">
        <w:rPr>
          <w:rFonts w:eastAsia="Calibri"/>
          <w:b/>
          <w:bCs/>
          <w:color w:val="0070C0"/>
        </w:rPr>
        <w:t>FACILITATOR NOTES:</w:t>
      </w:r>
    </w:p>
    <w:p w14:paraId="03D3DF42" w14:textId="66F7E45F" w:rsidR="00A92F1F" w:rsidRPr="00E329E5" w:rsidRDefault="00D942F1">
      <w:pPr>
        <w:rPr>
          <w:rFonts w:eastAsia="Calibri"/>
          <w:i/>
          <w:iCs/>
        </w:rPr>
      </w:pPr>
      <w:r w:rsidRPr="00E329E5">
        <w:rPr>
          <w:rFonts w:eastAsia="Calibri"/>
          <w:i/>
          <w:iCs/>
        </w:rPr>
        <w:t>This document represents the state of the subcommittee’s draft findings and recommendations</w:t>
      </w:r>
      <w:r w:rsidR="00A92F1F" w:rsidRPr="00E329E5">
        <w:rPr>
          <w:rFonts w:eastAsia="Calibri"/>
          <w:i/>
          <w:iCs/>
        </w:rPr>
        <w:t xml:space="preserve"> as of 2/22/23 at 9:00 PM</w:t>
      </w:r>
      <w:r w:rsidRPr="00E329E5">
        <w:rPr>
          <w:rFonts w:eastAsia="Calibri"/>
          <w:i/>
          <w:iCs/>
        </w:rPr>
        <w:t>.</w:t>
      </w:r>
      <w:r w:rsidR="00A92F1F" w:rsidRPr="00E329E5">
        <w:rPr>
          <w:rFonts w:eastAsia="Calibri"/>
          <w:i/>
          <w:iCs/>
        </w:rPr>
        <w:t xml:space="preserve">  </w:t>
      </w:r>
      <w:r w:rsidR="005C0573">
        <w:rPr>
          <w:rFonts w:eastAsia="Calibri"/>
          <w:i/>
          <w:iCs/>
        </w:rPr>
        <w:t xml:space="preserve">I ran the document through Grammarly to improve its clarity and voice with no intent to change the substance.  </w:t>
      </w:r>
      <w:r w:rsidR="009D4009" w:rsidRPr="009D4009">
        <w:rPr>
          <w:rFonts w:eastAsia="Calibri"/>
          <w:i/>
          <w:iCs/>
        </w:rPr>
        <w:t>Each subcommittee has not finalized the contents</w:t>
      </w:r>
      <w:r w:rsidR="006B1234">
        <w:rPr>
          <w:rFonts w:eastAsia="Calibri"/>
          <w:i/>
          <w:iCs/>
        </w:rPr>
        <w:t>, there are areas of disagreement, and frankly, some</w:t>
      </w:r>
      <w:r w:rsidR="006B1234" w:rsidRPr="006B1234">
        <w:rPr>
          <w:rFonts w:eastAsia="Calibri"/>
          <w:i/>
          <w:iCs/>
        </w:rPr>
        <w:t xml:space="preserve"> have not yet been vetted.  </w:t>
      </w:r>
      <w:r w:rsidR="00FC7F32" w:rsidRPr="00E329E5">
        <w:rPr>
          <w:rFonts w:eastAsia="Calibri"/>
          <w:i/>
          <w:iCs/>
        </w:rPr>
        <w:t xml:space="preserve">They are works in progress.  </w:t>
      </w:r>
      <w:r w:rsidR="00FC7F32">
        <w:rPr>
          <w:rFonts w:eastAsia="Calibri"/>
          <w:i/>
          <w:iCs/>
        </w:rPr>
        <w:t xml:space="preserve">The </w:t>
      </w:r>
      <w:r w:rsidR="006B1234">
        <w:rPr>
          <w:rFonts w:eastAsia="Calibri"/>
          <w:i/>
          <w:iCs/>
        </w:rPr>
        <w:t xml:space="preserve">next </w:t>
      </w:r>
      <w:r w:rsidR="00FC7F32">
        <w:rPr>
          <w:rFonts w:eastAsia="Calibri"/>
          <w:i/>
          <w:iCs/>
        </w:rPr>
        <w:t xml:space="preserve">draft will be reorganized by priority and include further responses to the </w:t>
      </w:r>
      <w:r w:rsidR="00FC7F32" w:rsidRPr="00E329E5">
        <w:rPr>
          <w:rFonts w:eastAsia="Calibri"/>
          <w:i/>
          <w:iCs/>
        </w:rPr>
        <w:t>Planning Commission</w:t>
      </w:r>
      <w:r w:rsidR="00FC7F32">
        <w:rPr>
          <w:rFonts w:eastAsia="Calibri"/>
          <w:i/>
          <w:iCs/>
        </w:rPr>
        <w:t xml:space="preserve"> and SWAC feedback.  </w:t>
      </w:r>
      <w:r w:rsidR="00502F9C">
        <w:rPr>
          <w:rFonts w:eastAsia="Calibri"/>
          <w:i/>
          <w:iCs/>
        </w:rPr>
        <w:t>It will also include active links to the supporting information.</w:t>
      </w:r>
    </w:p>
    <w:p w14:paraId="2FE6DAAA" w14:textId="4A52FF2E" w:rsidR="00E329E5" w:rsidRPr="00E329E5" w:rsidRDefault="00A92F1F">
      <w:pPr>
        <w:rPr>
          <w:rFonts w:eastAsia="Calibri"/>
          <w:i/>
          <w:iCs/>
        </w:rPr>
      </w:pPr>
      <w:r w:rsidRPr="00E329E5">
        <w:rPr>
          <w:rFonts w:eastAsia="Calibri"/>
          <w:i/>
          <w:iCs/>
        </w:rPr>
        <w:t xml:space="preserve">We are </w:t>
      </w:r>
      <w:r w:rsidR="009D4009" w:rsidRPr="009D4009">
        <w:rPr>
          <w:rFonts w:eastAsia="Calibri"/>
          <w:i/>
          <w:iCs/>
        </w:rPr>
        <w:t xml:space="preserve">now sharing this document with the </w:t>
      </w:r>
      <w:r w:rsidR="00EA527E">
        <w:rPr>
          <w:rFonts w:eastAsia="Calibri"/>
          <w:i/>
          <w:iCs/>
        </w:rPr>
        <w:t>entire</w:t>
      </w:r>
      <w:r w:rsidR="009D4009" w:rsidRPr="009D4009">
        <w:rPr>
          <w:rFonts w:eastAsia="Calibri"/>
          <w:i/>
          <w:iCs/>
        </w:rPr>
        <w:t xml:space="preserve"> workgroup to solicit</w:t>
      </w:r>
      <w:r w:rsidR="004465F2" w:rsidRPr="00E329E5">
        <w:rPr>
          <w:rFonts w:eastAsia="Calibri"/>
          <w:i/>
          <w:iCs/>
        </w:rPr>
        <w:t xml:space="preserve"> your </w:t>
      </w:r>
      <w:r w:rsidR="00E329E5" w:rsidRPr="00E329E5">
        <w:rPr>
          <w:rFonts w:eastAsia="Calibri"/>
          <w:i/>
          <w:iCs/>
        </w:rPr>
        <w:t xml:space="preserve">general </w:t>
      </w:r>
      <w:r w:rsidR="004465F2" w:rsidRPr="00E329E5">
        <w:rPr>
          <w:rFonts w:eastAsia="Calibri"/>
          <w:i/>
          <w:iCs/>
        </w:rPr>
        <w:t xml:space="preserve">feedback at the 2/23/23 BCTT Workgroup meeting.  </w:t>
      </w:r>
      <w:r w:rsidR="00B0195A">
        <w:rPr>
          <w:rFonts w:eastAsia="Calibri"/>
          <w:i/>
          <w:iCs/>
        </w:rPr>
        <w:t>Each subcommittee will use your input</w:t>
      </w:r>
      <w:r w:rsidR="004465F2" w:rsidRPr="00E329E5">
        <w:rPr>
          <w:rFonts w:eastAsia="Calibri"/>
          <w:i/>
          <w:iCs/>
        </w:rPr>
        <w:t xml:space="preserve"> to finalize their work for your formal </w:t>
      </w:r>
      <w:r w:rsidR="00E329E5" w:rsidRPr="00E329E5">
        <w:rPr>
          <w:rFonts w:eastAsia="Calibri"/>
          <w:i/>
          <w:iCs/>
        </w:rPr>
        <w:t xml:space="preserve">polling </w:t>
      </w:r>
      <w:r w:rsidR="004465F2" w:rsidRPr="00E329E5">
        <w:rPr>
          <w:rFonts w:eastAsia="Calibri"/>
          <w:i/>
          <w:iCs/>
        </w:rPr>
        <w:t xml:space="preserve">at our last meeting on 3/16/23. </w:t>
      </w:r>
    </w:p>
    <w:p w14:paraId="02AC111A" w14:textId="334DC74D" w:rsidR="00E329E5" w:rsidRPr="00E329E5" w:rsidRDefault="00E329E5">
      <w:pPr>
        <w:rPr>
          <w:rFonts w:eastAsia="Calibri"/>
          <w:i/>
          <w:iCs/>
        </w:rPr>
      </w:pPr>
      <w:r w:rsidRPr="00E329E5">
        <w:rPr>
          <w:rFonts w:eastAsia="Calibri"/>
          <w:i/>
          <w:iCs/>
        </w:rPr>
        <w:t>We will provide a “crosswalk” document</w:t>
      </w:r>
      <w:r w:rsidR="009D4009">
        <w:rPr>
          <w:rFonts w:eastAsia="Calibri"/>
          <w:i/>
          <w:iCs/>
        </w:rPr>
        <w:t xml:space="preserve"> to</w:t>
      </w:r>
      <w:r w:rsidRPr="00E329E5">
        <w:rPr>
          <w:rFonts w:eastAsia="Calibri"/>
          <w:i/>
          <w:iCs/>
        </w:rPr>
        <w:t xml:space="preserve"> serve as our agenda.</w:t>
      </w:r>
    </w:p>
    <w:p w14:paraId="279293EF" w14:textId="775EE8BD" w:rsidR="00BE0376" w:rsidRDefault="00E329E5">
      <w:pPr>
        <w:rPr>
          <w:rFonts w:eastAsia="Calibri"/>
        </w:rPr>
      </w:pPr>
      <w:r w:rsidRPr="00E329E5">
        <w:rPr>
          <w:rFonts w:eastAsia="Calibri"/>
          <w:i/>
          <w:iCs/>
        </w:rPr>
        <w:t>Thanks</w:t>
      </w:r>
      <w:r w:rsidR="00A7074E">
        <w:rPr>
          <w:rFonts w:eastAsia="Calibri"/>
          <w:i/>
          <w:iCs/>
        </w:rPr>
        <w:t>, Sam</w:t>
      </w:r>
      <w:r w:rsidR="00D942F1">
        <w:rPr>
          <w:rFonts w:eastAsia="Calibri"/>
        </w:rPr>
        <w:t xml:space="preserve">  </w:t>
      </w:r>
    </w:p>
    <w:p w14:paraId="0480B87B" w14:textId="3DA6E997" w:rsidR="005A185B" w:rsidRDefault="005A185B">
      <w:pPr>
        <w:rPr>
          <w:rFonts w:eastAsia="Calibri" w:cstheme="majorBidi"/>
          <w:color w:val="2F5496" w:themeColor="accent1" w:themeShade="BF"/>
          <w:sz w:val="32"/>
          <w:szCs w:val="32"/>
        </w:rPr>
      </w:pPr>
      <w:r>
        <w:rPr>
          <w:rFonts w:eastAsia="Calibri"/>
        </w:rPr>
        <w:br w:type="page"/>
      </w:r>
    </w:p>
    <w:p w14:paraId="2F4E2600" w14:textId="42F72D4E" w:rsidR="00007E3F" w:rsidRDefault="00007E3F" w:rsidP="008501DA">
      <w:pPr>
        <w:pStyle w:val="Heading1"/>
        <w:jc w:val="center"/>
        <w:rPr>
          <w:rFonts w:eastAsia="Calibri"/>
        </w:rPr>
      </w:pPr>
      <w:r w:rsidRPr="00007E3F">
        <w:rPr>
          <w:rFonts w:eastAsia="Calibri"/>
        </w:rPr>
        <w:lastRenderedPageBreak/>
        <w:t>Sustainable Materials Management Plan (SMMP)</w:t>
      </w:r>
      <w:bookmarkEnd w:id="0"/>
    </w:p>
    <w:p w14:paraId="50833747" w14:textId="77777777" w:rsidR="003354A1" w:rsidRDefault="003354A1" w:rsidP="001A12F9">
      <w:pPr>
        <w:spacing w:after="240" w:line="240" w:lineRule="auto"/>
        <w:rPr>
          <w:rFonts w:eastAsia="Calibri" w:cs="Times New Roman"/>
          <w:b/>
          <w:bCs/>
          <w:szCs w:val="22"/>
        </w:rPr>
      </w:pPr>
    </w:p>
    <w:p w14:paraId="238AFEAF" w14:textId="42AF0C9A" w:rsidR="001A12F9" w:rsidRPr="00332B7D" w:rsidRDefault="001A12F9" w:rsidP="001A12F9">
      <w:pPr>
        <w:spacing w:after="240" w:line="240" w:lineRule="auto"/>
        <w:rPr>
          <w:rFonts w:eastAsia="Times New Roman" w:cs="Arial"/>
          <w:color w:val="2E74B5"/>
          <w:sz w:val="28"/>
          <w:szCs w:val="28"/>
        </w:rPr>
      </w:pPr>
      <w:r w:rsidRPr="00332B7D">
        <w:rPr>
          <w:rFonts w:eastAsia="Calibri" w:cs="Times New Roman"/>
          <w:b/>
          <w:bCs/>
          <w:szCs w:val="22"/>
        </w:rPr>
        <w:t xml:space="preserve">Key Findings: </w:t>
      </w:r>
    </w:p>
    <w:p w14:paraId="02387E81" w14:textId="2D52CEC4" w:rsidR="001A12F9" w:rsidRPr="00623A53" w:rsidRDefault="00000000" w:rsidP="001A12F9">
      <w:pPr>
        <w:rPr>
          <w:rFonts w:eastAsia="Calibri" w:cs="Times New Roman"/>
          <w:szCs w:val="22"/>
        </w:rPr>
      </w:pPr>
      <w:hyperlink w:anchor="_Topics_covered_in" w:history="1">
        <w:r w:rsidR="001A12F9" w:rsidRPr="00623A53">
          <w:rPr>
            <w:rFonts w:eastAsia="Calibri" w:cs="Times New Roman"/>
            <w:color w:val="0563C1"/>
            <w:szCs w:val="22"/>
            <w:u w:val="single"/>
          </w:rPr>
          <w:t>SMMP</w:t>
        </w:r>
        <w:r w:rsidR="001A12F9">
          <w:rPr>
            <w:rFonts w:eastAsia="Calibri" w:cs="Times New Roman"/>
            <w:color w:val="0563C1"/>
            <w:szCs w:val="22"/>
            <w:u w:val="single"/>
          </w:rPr>
          <w:t xml:space="preserve"> </w:t>
        </w:r>
        <w:r w:rsidR="001A12F9" w:rsidRPr="00623A53">
          <w:rPr>
            <w:rFonts w:eastAsia="Calibri" w:cs="Times New Roman"/>
            <w:color w:val="0563C1"/>
            <w:szCs w:val="22"/>
            <w:u w:val="single"/>
          </w:rPr>
          <w:t>F-1:</w:t>
        </w:r>
      </w:hyperlink>
      <w:r w:rsidR="001A12F9" w:rsidRPr="00623A53">
        <w:rPr>
          <w:rFonts w:eastAsia="Calibri" w:cs="Times New Roman"/>
          <w:szCs w:val="22"/>
        </w:rPr>
        <w:t xml:space="preserve"> Many SMMPs</w:t>
      </w:r>
      <w:r w:rsidR="001A12F9">
        <w:rPr>
          <w:rFonts w:eastAsia="Calibri" w:cs="Times New Roman"/>
          <w:szCs w:val="22"/>
        </w:rPr>
        <w:t xml:space="preserve"> and related RFPs</w:t>
      </w:r>
      <w:r w:rsidR="001A12F9" w:rsidRPr="00623A53">
        <w:rPr>
          <w:rFonts w:eastAsia="Calibri" w:cs="Times New Roman"/>
          <w:szCs w:val="22"/>
        </w:rPr>
        <w:t xml:space="preserve"> exist in Oregon and beyond.</w:t>
      </w:r>
    </w:p>
    <w:p w14:paraId="4C59BF47" w14:textId="77777777" w:rsidR="001A12F9" w:rsidRPr="00623A53" w:rsidRDefault="00000000" w:rsidP="001A12F9">
      <w:pPr>
        <w:rPr>
          <w:rFonts w:eastAsia="Calibri" w:cs="Times New Roman"/>
          <w:szCs w:val="22"/>
        </w:rPr>
      </w:pPr>
      <w:hyperlink w:anchor="_Introduction" w:history="1">
        <w:r w:rsidR="001A12F9" w:rsidRPr="00623A53">
          <w:rPr>
            <w:rFonts w:eastAsia="Calibri" w:cs="Times New Roman"/>
            <w:color w:val="0563C1"/>
            <w:szCs w:val="22"/>
            <w:u w:val="single"/>
          </w:rPr>
          <w:t>SMMP</w:t>
        </w:r>
        <w:r w:rsidR="001A12F9">
          <w:rPr>
            <w:rFonts w:eastAsia="Calibri" w:cs="Times New Roman"/>
            <w:color w:val="0563C1"/>
            <w:szCs w:val="22"/>
            <w:u w:val="single"/>
          </w:rPr>
          <w:t xml:space="preserve"> </w:t>
        </w:r>
        <w:r w:rsidR="001A12F9" w:rsidRPr="00623A53">
          <w:rPr>
            <w:rFonts w:eastAsia="Calibri" w:cs="Times New Roman"/>
            <w:color w:val="0563C1"/>
            <w:szCs w:val="22"/>
            <w:u w:val="single"/>
          </w:rPr>
          <w:t>F-2</w:t>
        </w:r>
        <w:r w:rsidR="001A12F9" w:rsidRPr="00623A53">
          <w:rPr>
            <w:rFonts w:eastAsia="Calibri" w:cs="Times New Roman"/>
            <w:color w:val="0000FF"/>
            <w:szCs w:val="22"/>
            <w:u w:val="single"/>
          </w:rPr>
          <w:t>:</w:t>
        </w:r>
      </w:hyperlink>
      <w:r w:rsidR="001A12F9" w:rsidRPr="00623A53">
        <w:rPr>
          <w:rFonts w:eastAsia="Calibri" w:cs="Times New Roman"/>
          <w:szCs w:val="22"/>
        </w:rPr>
        <w:t xml:space="preserve"> The charges of the </w:t>
      </w:r>
      <w:r w:rsidR="001A12F9">
        <w:rPr>
          <w:rFonts w:eastAsia="Calibri" w:cs="Times New Roman"/>
          <w:szCs w:val="22"/>
        </w:rPr>
        <w:t>SMMP Subcommittee</w:t>
      </w:r>
      <w:r w:rsidR="001A12F9" w:rsidRPr="00623A53">
        <w:rPr>
          <w:rFonts w:eastAsia="Calibri" w:cs="Times New Roman"/>
          <w:szCs w:val="22"/>
        </w:rPr>
        <w:t xml:space="preserve"> are intimately related and </w:t>
      </w:r>
      <w:r w:rsidR="001A12F9">
        <w:rPr>
          <w:rFonts w:eastAsia="Calibri" w:cs="Times New Roman"/>
          <w:szCs w:val="22"/>
        </w:rPr>
        <w:t>should</w:t>
      </w:r>
      <w:r w:rsidR="001A12F9" w:rsidRPr="00623A53">
        <w:rPr>
          <w:rFonts w:eastAsia="Calibri" w:cs="Times New Roman"/>
          <w:szCs w:val="22"/>
        </w:rPr>
        <w:t xml:space="preserve"> be included within the RFP.</w:t>
      </w:r>
    </w:p>
    <w:p w14:paraId="2A0BEB47" w14:textId="6DE58104" w:rsidR="001A12F9" w:rsidRPr="00623A53" w:rsidRDefault="00000000" w:rsidP="001A12F9">
      <w:pPr>
        <w:rPr>
          <w:rFonts w:eastAsia="Calibri" w:cs="Times New Roman"/>
          <w:szCs w:val="22"/>
        </w:rPr>
      </w:pPr>
      <w:hyperlink w:anchor="_Contracting_out;" w:history="1">
        <w:r w:rsidR="001A12F9" w:rsidRPr="00623A53">
          <w:rPr>
            <w:rFonts w:eastAsia="Calibri" w:cs="Times New Roman"/>
            <w:color w:val="0563C1"/>
            <w:szCs w:val="22"/>
            <w:u w:val="single"/>
          </w:rPr>
          <w:t>SMMP</w:t>
        </w:r>
        <w:r w:rsidR="001A12F9">
          <w:rPr>
            <w:rFonts w:eastAsia="Calibri" w:cs="Times New Roman"/>
            <w:color w:val="0563C1"/>
            <w:szCs w:val="22"/>
            <w:u w:val="single"/>
          </w:rPr>
          <w:t xml:space="preserve"> </w:t>
        </w:r>
        <w:r w:rsidR="001A12F9" w:rsidRPr="00623A53">
          <w:rPr>
            <w:rFonts w:eastAsia="Calibri" w:cs="Times New Roman"/>
            <w:color w:val="0563C1"/>
            <w:szCs w:val="22"/>
            <w:u w:val="single"/>
          </w:rPr>
          <w:t>F-3:</w:t>
        </w:r>
      </w:hyperlink>
      <w:r w:rsidR="001A12F9" w:rsidRPr="00623A53">
        <w:rPr>
          <w:rFonts w:eastAsia="Calibri" w:cs="Times New Roman"/>
          <w:szCs w:val="22"/>
        </w:rPr>
        <w:t xml:space="preserve"> Contracting out processes often include a Technical Advisory Committee (TAC), which vet technical information from a consultant and get to a place of consensus, and a Community Advisory Committee (CAC), which provide </w:t>
      </w:r>
      <w:r w:rsidR="00B0195A">
        <w:rPr>
          <w:rFonts w:eastAsia="Calibri" w:cs="Times New Roman"/>
          <w:szCs w:val="22"/>
        </w:rPr>
        <w:t xml:space="preserve">a </w:t>
      </w:r>
      <w:r w:rsidR="001A12F9" w:rsidRPr="00623A53">
        <w:rPr>
          <w:rFonts w:eastAsia="Calibri" w:cs="Times New Roman"/>
          <w:szCs w:val="22"/>
        </w:rPr>
        <w:t>review in the technical experts’ areas of disagreement.</w:t>
      </w:r>
    </w:p>
    <w:p w14:paraId="264DBD2A" w14:textId="5D11262C" w:rsidR="001A12F9" w:rsidRPr="00623A53" w:rsidRDefault="00000000" w:rsidP="001A12F9">
      <w:pPr>
        <w:rPr>
          <w:rFonts w:eastAsia="Calibri" w:cs="Times New Roman"/>
          <w:szCs w:val="22"/>
        </w:rPr>
      </w:pPr>
      <w:hyperlink w:anchor="_A_workplan_outline" w:history="1">
        <w:r w:rsidR="001A12F9" w:rsidRPr="00623A53">
          <w:rPr>
            <w:rFonts w:eastAsia="Calibri" w:cs="Times New Roman"/>
            <w:color w:val="0563C1"/>
            <w:szCs w:val="22"/>
            <w:u w:val="single"/>
          </w:rPr>
          <w:t>SMMP</w:t>
        </w:r>
        <w:r w:rsidR="001A12F9">
          <w:rPr>
            <w:rFonts w:eastAsia="Calibri" w:cs="Times New Roman"/>
            <w:color w:val="0563C1"/>
            <w:szCs w:val="22"/>
            <w:u w:val="single"/>
          </w:rPr>
          <w:t xml:space="preserve"> </w:t>
        </w:r>
        <w:r w:rsidR="001A12F9" w:rsidRPr="00623A53">
          <w:rPr>
            <w:rFonts w:eastAsia="Calibri" w:cs="Times New Roman"/>
            <w:color w:val="0563C1"/>
            <w:szCs w:val="22"/>
            <w:u w:val="single"/>
          </w:rPr>
          <w:t>F-4:</w:t>
        </w:r>
      </w:hyperlink>
      <w:r w:rsidR="001A12F9" w:rsidRPr="00623A53">
        <w:rPr>
          <w:rFonts w:eastAsia="Calibri" w:cs="Times New Roman"/>
          <w:szCs w:val="22"/>
        </w:rPr>
        <w:t xml:space="preserve"> </w:t>
      </w:r>
      <w:r w:rsidR="00B0195A">
        <w:rPr>
          <w:rFonts w:eastAsia="Calibri" w:cs="Times New Roman"/>
          <w:szCs w:val="22"/>
        </w:rPr>
        <w:t>The length</w:t>
      </w:r>
      <w:r w:rsidR="001A12F9" w:rsidRPr="00623A53">
        <w:rPr>
          <w:rFonts w:eastAsia="Calibri" w:cs="Times New Roman"/>
          <w:szCs w:val="22"/>
        </w:rPr>
        <w:t xml:space="preserve"> of </w:t>
      </w:r>
      <w:r w:rsidR="00B0195A">
        <w:rPr>
          <w:rFonts w:eastAsia="Calibri" w:cs="Times New Roman"/>
          <w:szCs w:val="22"/>
        </w:rPr>
        <w:t xml:space="preserve">the </w:t>
      </w:r>
      <w:r w:rsidR="001A12F9" w:rsidRPr="00623A53">
        <w:rPr>
          <w:rFonts w:eastAsia="Calibri" w:cs="Times New Roman"/>
          <w:szCs w:val="22"/>
        </w:rPr>
        <w:t>overall project can be heavily impacted and defined by the level of public interaction/engagement included in the project.</w:t>
      </w:r>
    </w:p>
    <w:p w14:paraId="0F5EBAD8" w14:textId="77777777" w:rsidR="001A12F9" w:rsidRDefault="00000000" w:rsidP="001A12F9">
      <w:pPr>
        <w:rPr>
          <w:rFonts w:eastAsia="Calibri" w:cs="Times New Roman"/>
          <w:szCs w:val="22"/>
        </w:rPr>
      </w:pPr>
      <w:hyperlink w:anchor="_A_workplan_outline" w:history="1">
        <w:r w:rsidR="001A12F9" w:rsidRPr="00623A53">
          <w:rPr>
            <w:rFonts w:eastAsia="Calibri" w:cs="Times New Roman"/>
            <w:color w:val="0563C1"/>
            <w:szCs w:val="22"/>
            <w:u w:val="single"/>
          </w:rPr>
          <w:t>SMMP</w:t>
        </w:r>
        <w:r w:rsidR="001A12F9">
          <w:rPr>
            <w:rFonts w:eastAsia="Calibri" w:cs="Times New Roman"/>
            <w:color w:val="0563C1"/>
            <w:szCs w:val="22"/>
            <w:u w:val="single"/>
          </w:rPr>
          <w:t xml:space="preserve"> </w:t>
        </w:r>
        <w:r w:rsidR="001A12F9" w:rsidRPr="00623A53">
          <w:rPr>
            <w:rFonts w:eastAsia="Calibri" w:cs="Times New Roman"/>
            <w:color w:val="0563C1"/>
            <w:szCs w:val="22"/>
            <w:u w:val="single"/>
          </w:rPr>
          <w:t>F-5</w:t>
        </w:r>
      </w:hyperlink>
      <w:r w:rsidR="001A12F9" w:rsidRPr="00623A53">
        <w:rPr>
          <w:rFonts w:eastAsia="Calibri" w:cs="Times New Roman"/>
          <w:szCs w:val="22"/>
        </w:rPr>
        <w:t>: The research and development</w:t>
      </w:r>
      <w:r w:rsidR="001A12F9">
        <w:rPr>
          <w:rFonts w:eastAsia="Calibri" w:cs="Times New Roman"/>
          <w:szCs w:val="22"/>
        </w:rPr>
        <w:t xml:space="preserve"> aspects</w:t>
      </w:r>
      <w:r w:rsidR="001A12F9" w:rsidRPr="00623A53">
        <w:rPr>
          <w:rFonts w:eastAsia="Calibri" w:cs="Times New Roman"/>
          <w:szCs w:val="22"/>
        </w:rPr>
        <w:t xml:space="preserve"> of the plan</w:t>
      </w:r>
      <w:r w:rsidR="001A12F9">
        <w:rPr>
          <w:rFonts w:eastAsia="Calibri" w:cs="Times New Roman"/>
          <w:szCs w:val="22"/>
        </w:rPr>
        <w:t>ning process</w:t>
      </w:r>
      <w:r w:rsidR="001A12F9" w:rsidRPr="00623A53">
        <w:rPr>
          <w:rFonts w:eastAsia="Calibri" w:cs="Times New Roman"/>
          <w:szCs w:val="22"/>
        </w:rPr>
        <w:t xml:space="preserve"> can occur </w:t>
      </w:r>
      <w:r w:rsidR="001A12F9">
        <w:rPr>
          <w:rFonts w:eastAsia="Calibri" w:cs="Times New Roman"/>
          <w:szCs w:val="22"/>
        </w:rPr>
        <w:t>concurrently with</w:t>
      </w:r>
      <w:r w:rsidR="001A12F9" w:rsidRPr="00623A53">
        <w:rPr>
          <w:rFonts w:eastAsia="Calibri" w:cs="Times New Roman"/>
          <w:szCs w:val="22"/>
        </w:rPr>
        <w:t xml:space="preserve"> </w:t>
      </w:r>
      <w:r w:rsidR="001A12F9">
        <w:rPr>
          <w:rFonts w:eastAsia="Calibri" w:cs="Times New Roman"/>
          <w:szCs w:val="22"/>
        </w:rPr>
        <w:t>public engagement</w:t>
      </w:r>
      <w:r w:rsidR="001A12F9" w:rsidRPr="00623A53">
        <w:rPr>
          <w:rFonts w:eastAsia="Calibri" w:cs="Times New Roman"/>
          <w:szCs w:val="22"/>
        </w:rPr>
        <w:t>.</w:t>
      </w:r>
    </w:p>
    <w:p w14:paraId="4032A7FE" w14:textId="6D146A77" w:rsidR="001A12F9" w:rsidRPr="006E0817" w:rsidRDefault="00000000" w:rsidP="001A12F9">
      <w:pPr>
        <w:rPr>
          <w:rFonts w:eastAsia="Calibri" w:cs="Times New Roman"/>
          <w:szCs w:val="22"/>
        </w:rPr>
      </w:pPr>
      <w:hyperlink w:anchor="_Introduction" w:history="1">
        <w:r w:rsidR="001A12F9" w:rsidRPr="00934CF7">
          <w:rPr>
            <w:rStyle w:val="Hyperlink"/>
            <w:rFonts w:eastAsia="Calibri" w:cs="Times New Roman"/>
            <w:szCs w:val="22"/>
          </w:rPr>
          <w:t>SMMP F-6</w:t>
        </w:r>
      </w:hyperlink>
      <w:r w:rsidR="001A12F9" w:rsidRPr="006E0817">
        <w:rPr>
          <w:rFonts w:eastAsia="Calibri" w:cs="Times New Roman"/>
          <w:szCs w:val="22"/>
        </w:rPr>
        <w:t xml:space="preserve"> </w:t>
      </w:r>
      <w:r w:rsidR="001A12F9">
        <w:rPr>
          <w:rFonts w:eastAsia="Calibri" w:cs="Times New Roman"/>
          <w:szCs w:val="22"/>
        </w:rPr>
        <w:t>–</w:t>
      </w:r>
      <w:r w:rsidR="001A12F9" w:rsidRPr="006E0817">
        <w:rPr>
          <w:rFonts w:eastAsia="Calibri" w:cs="Times New Roman"/>
          <w:szCs w:val="22"/>
        </w:rPr>
        <w:t xml:space="preserve"> Th</w:t>
      </w:r>
      <w:r w:rsidR="001A12F9">
        <w:rPr>
          <w:rFonts w:eastAsia="Calibri" w:cs="Times New Roman"/>
          <w:szCs w:val="22"/>
        </w:rPr>
        <w:t xml:space="preserve">e SMMP </w:t>
      </w:r>
      <w:r w:rsidR="001A12F9" w:rsidRPr="006E0817">
        <w:rPr>
          <w:rFonts w:eastAsia="Calibri" w:cs="Times New Roman"/>
          <w:szCs w:val="22"/>
        </w:rPr>
        <w:t>is about the landfill</w:t>
      </w:r>
      <w:r w:rsidR="00B0195A">
        <w:rPr>
          <w:rFonts w:eastAsia="Calibri" w:cs="Times New Roman"/>
          <w:szCs w:val="22"/>
        </w:rPr>
        <w:t>,</w:t>
      </w:r>
      <w:r w:rsidR="001A12F9" w:rsidRPr="006E0817">
        <w:rPr>
          <w:rFonts w:eastAsia="Calibri" w:cs="Times New Roman"/>
          <w:szCs w:val="22"/>
        </w:rPr>
        <w:t xml:space="preserve"> but </w:t>
      </w:r>
      <w:r w:rsidR="00B0195A">
        <w:rPr>
          <w:rFonts w:eastAsia="Calibri" w:cs="Times New Roman"/>
          <w:szCs w:val="22"/>
        </w:rPr>
        <w:t xml:space="preserve">it is </w:t>
      </w:r>
      <w:r w:rsidR="001A12F9" w:rsidRPr="006E0817">
        <w:rPr>
          <w:rFonts w:eastAsia="Calibri" w:cs="Times New Roman"/>
          <w:szCs w:val="22"/>
        </w:rPr>
        <w:t xml:space="preserve">also bigger than that. </w:t>
      </w:r>
      <w:r w:rsidR="001A12F9">
        <w:rPr>
          <w:rFonts w:eastAsia="Calibri" w:cs="Times New Roman"/>
          <w:szCs w:val="22"/>
        </w:rPr>
        <w:t>While</w:t>
      </w:r>
      <w:r w:rsidR="001A12F9" w:rsidRPr="006E0817">
        <w:rPr>
          <w:rFonts w:eastAsia="Calibri" w:cs="Times New Roman"/>
          <w:szCs w:val="22"/>
        </w:rPr>
        <w:t xml:space="preserve"> B</w:t>
      </w:r>
      <w:r w:rsidR="001A12F9">
        <w:rPr>
          <w:rFonts w:eastAsia="Calibri" w:cs="Times New Roman"/>
          <w:szCs w:val="22"/>
        </w:rPr>
        <w:t xml:space="preserve">enton </w:t>
      </w:r>
      <w:r w:rsidR="001A12F9" w:rsidRPr="006E0817">
        <w:rPr>
          <w:rFonts w:eastAsia="Calibri" w:cs="Times New Roman"/>
          <w:szCs w:val="22"/>
        </w:rPr>
        <w:t>C</w:t>
      </w:r>
      <w:r w:rsidR="001A12F9">
        <w:rPr>
          <w:rFonts w:eastAsia="Calibri" w:cs="Times New Roman"/>
          <w:szCs w:val="22"/>
        </w:rPr>
        <w:t>ounty’s</w:t>
      </w:r>
      <w:r w:rsidR="001A12F9" w:rsidRPr="006E0817">
        <w:rPr>
          <w:rFonts w:eastAsia="Calibri" w:cs="Times New Roman"/>
          <w:szCs w:val="22"/>
        </w:rPr>
        <w:t xml:space="preserve"> waste contribution </w:t>
      </w:r>
      <w:r w:rsidR="001A12F9">
        <w:rPr>
          <w:rFonts w:eastAsia="Calibri" w:cs="Times New Roman"/>
          <w:szCs w:val="22"/>
        </w:rPr>
        <w:t>to the landfill is relative</w:t>
      </w:r>
      <w:r w:rsidR="001A12F9" w:rsidRPr="006E0817">
        <w:rPr>
          <w:rFonts w:eastAsia="Calibri" w:cs="Times New Roman"/>
          <w:szCs w:val="22"/>
        </w:rPr>
        <w:t xml:space="preserve">ly small, </w:t>
      </w:r>
      <w:r w:rsidR="001A12F9">
        <w:rPr>
          <w:rFonts w:eastAsia="Calibri" w:cs="Times New Roman"/>
          <w:szCs w:val="22"/>
        </w:rPr>
        <w:t xml:space="preserve">the SMMP aims to reduce the full lifecycle impacts of materials management practices in Benton County and where other </w:t>
      </w:r>
      <w:r w:rsidR="00B0195A">
        <w:rPr>
          <w:rFonts w:eastAsia="Calibri" w:cs="Times New Roman"/>
          <w:szCs w:val="22"/>
        </w:rPr>
        <w:t>jurisdictions’</w:t>
      </w:r>
      <w:r w:rsidR="001A12F9">
        <w:rPr>
          <w:rFonts w:eastAsia="Calibri" w:cs="Times New Roman"/>
          <w:szCs w:val="22"/>
        </w:rPr>
        <w:t xml:space="preserve"> practices overlap with Benton County. </w:t>
      </w:r>
      <w:r w:rsidR="001A12F9" w:rsidRPr="006E0817">
        <w:rPr>
          <w:rFonts w:eastAsia="Calibri" w:cs="Times New Roman"/>
          <w:szCs w:val="22"/>
        </w:rPr>
        <w:t xml:space="preserve">Addressing </w:t>
      </w:r>
      <w:r w:rsidR="001A12F9">
        <w:rPr>
          <w:rFonts w:eastAsia="Calibri" w:cs="Times New Roman"/>
          <w:szCs w:val="22"/>
        </w:rPr>
        <w:t>only materials</w:t>
      </w:r>
      <w:r w:rsidR="001A12F9" w:rsidRPr="006E0817">
        <w:rPr>
          <w:rFonts w:eastAsia="Calibri" w:cs="Times New Roman"/>
          <w:szCs w:val="22"/>
        </w:rPr>
        <w:t xml:space="preserve"> from Benton County w</w:t>
      </w:r>
      <w:r w:rsidR="001A12F9">
        <w:rPr>
          <w:rFonts w:eastAsia="Calibri" w:cs="Times New Roman"/>
          <w:szCs w:val="22"/>
        </w:rPr>
        <w:t>ould</w:t>
      </w:r>
      <w:r w:rsidR="001A12F9" w:rsidRPr="006E0817">
        <w:rPr>
          <w:rFonts w:eastAsia="Calibri" w:cs="Times New Roman"/>
          <w:szCs w:val="22"/>
        </w:rPr>
        <w:t xml:space="preserve"> </w:t>
      </w:r>
      <w:r w:rsidR="001A12F9">
        <w:rPr>
          <w:rFonts w:eastAsia="Calibri" w:cs="Times New Roman"/>
          <w:szCs w:val="22"/>
        </w:rPr>
        <w:t>have</w:t>
      </w:r>
      <w:r w:rsidR="001A12F9" w:rsidRPr="006E0817">
        <w:rPr>
          <w:rFonts w:eastAsia="Calibri" w:cs="Times New Roman"/>
          <w:szCs w:val="22"/>
        </w:rPr>
        <w:t xml:space="preserve"> limited </w:t>
      </w:r>
      <w:r w:rsidR="001A12F9">
        <w:rPr>
          <w:rFonts w:eastAsia="Calibri" w:cs="Times New Roman"/>
          <w:szCs w:val="22"/>
        </w:rPr>
        <w:t xml:space="preserve">impacts </w:t>
      </w:r>
      <w:r w:rsidR="001A12F9" w:rsidRPr="006E0817">
        <w:rPr>
          <w:rFonts w:eastAsia="Calibri" w:cs="Times New Roman"/>
          <w:szCs w:val="22"/>
        </w:rPr>
        <w:t xml:space="preserve">compared to </w:t>
      </w:r>
      <w:r w:rsidR="001A12F9">
        <w:rPr>
          <w:rFonts w:eastAsia="Calibri" w:cs="Times New Roman"/>
          <w:szCs w:val="22"/>
        </w:rPr>
        <w:t xml:space="preserve">all materials </w:t>
      </w:r>
      <w:r w:rsidR="001A12F9" w:rsidRPr="006E0817">
        <w:rPr>
          <w:rFonts w:eastAsia="Calibri" w:cs="Times New Roman"/>
          <w:szCs w:val="22"/>
        </w:rPr>
        <w:t>from neighboring counties.</w:t>
      </w:r>
    </w:p>
    <w:p w14:paraId="72638599" w14:textId="48364AFB" w:rsidR="001A12F9" w:rsidRPr="006E0817" w:rsidRDefault="00000000" w:rsidP="001A12F9">
      <w:pPr>
        <w:rPr>
          <w:rFonts w:eastAsia="Calibri" w:cs="Times New Roman"/>
          <w:szCs w:val="22"/>
        </w:rPr>
      </w:pPr>
      <w:hyperlink w:anchor="_Who_needs_to" w:history="1">
        <w:r w:rsidR="001A12F9" w:rsidRPr="00934CF7">
          <w:rPr>
            <w:rStyle w:val="Hyperlink"/>
            <w:rFonts w:eastAsia="Calibri" w:cs="Times New Roman"/>
            <w:szCs w:val="22"/>
          </w:rPr>
          <w:t>SMMP F-7</w:t>
        </w:r>
      </w:hyperlink>
      <w:r w:rsidR="001A12F9" w:rsidRPr="006E0817">
        <w:rPr>
          <w:rFonts w:eastAsia="Calibri" w:cs="Times New Roman"/>
          <w:szCs w:val="22"/>
        </w:rPr>
        <w:t xml:space="preserve"> - Benton County has limited control over what counties do</w:t>
      </w:r>
      <w:r w:rsidR="001A12F9">
        <w:rPr>
          <w:rFonts w:eastAsia="Calibri" w:cs="Times New Roman"/>
          <w:szCs w:val="22"/>
        </w:rPr>
        <w:t xml:space="preserve"> and how much material they haul to Coffin Butte Landfill</w:t>
      </w:r>
      <w:r w:rsidR="001E398A">
        <w:rPr>
          <w:rFonts w:eastAsia="Calibri" w:cs="Times New Roman"/>
          <w:szCs w:val="22"/>
        </w:rPr>
        <w:t>. However</w:t>
      </w:r>
      <w:r w:rsidR="001A12F9">
        <w:rPr>
          <w:rFonts w:eastAsia="Calibri" w:cs="Times New Roman"/>
          <w:szCs w:val="22"/>
        </w:rPr>
        <w:t>,</w:t>
      </w:r>
      <w:r w:rsidR="001A12F9" w:rsidRPr="006E0817">
        <w:rPr>
          <w:rFonts w:eastAsia="Calibri" w:cs="Times New Roman"/>
          <w:szCs w:val="22"/>
        </w:rPr>
        <w:t xml:space="preserve"> the county is impacted by other</w:t>
      </w:r>
      <w:r w:rsidR="001A12F9">
        <w:rPr>
          <w:rFonts w:eastAsia="Calibri" w:cs="Times New Roman"/>
          <w:szCs w:val="22"/>
        </w:rPr>
        <w:t xml:space="preserve"> countie</w:t>
      </w:r>
      <w:r w:rsidR="001A12F9" w:rsidRPr="006E0817">
        <w:rPr>
          <w:rFonts w:eastAsia="Calibri" w:cs="Times New Roman"/>
          <w:szCs w:val="22"/>
        </w:rPr>
        <w:t xml:space="preserve">s’ waste </w:t>
      </w:r>
      <w:r w:rsidR="00B0195A">
        <w:rPr>
          <w:rFonts w:eastAsia="Calibri" w:cs="Times New Roman"/>
          <w:szCs w:val="22"/>
        </w:rPr>
        <w:t>stream</w:t>
      </w:r>
      <w:r w:rsidR="001A12F9">
        <w:rPr>
          <w:rFonts w:eastAsia="Calibri" w:cs="Times New Roman"/>
          <w:szCs w:val="22"/>
        </w:rPr>
        <w:t xml:space="preserve"> contributions to facilities within Benton County (</w:t>
      </w:r>
      <w:r w:rsidR="001A12F9" w:rsidRPr="006E0817">
        <w:rPr>
          <w:rFonts w:eastAsia="Calibri" w:cs="Times New Roman"/>
          <w:szCs w:val="22"/>
        </w:rPr>
        <w:t xml:space="preserve">via </w:t>
      </w:r>
      <w:r w:rsidR="001A12F9">
        <w:rPr>
          <w:rFonts w:eastAsia="Calibri" w:cs="Times New Roman"/>
          <w:szCs w:val="22"/>
        </w:rPr>
        <w:t>Coffin Butte L</w:t>
      </w:r>
      <w:r w:rsidR="001A12F9" w:rsidRPr="006E0817">
        <w:rPr>
          <w:rFonts w:eastAsia="Calibri" w:cs="Times New Roman"/>
          <w:szCs w:val="22"/>
        </w:rPr>
        <w:t>andfill</w:t>
      </w:r>
      <w:r w:rsidR="001A12F9">
        <w:rPr>
          <w:rFonts w:eastAsia="Calibri" w:cs="Times New Roman"/>
          <w:szCs w:val="22"/>
        </w:rPr>
        <w:t>, Pacific Region Compost, and transportation methods through the county)</w:t>
      </w:r>
      <w:r w:rsidR="001A12F9" w:rsidRPr="006E0817">
        <w:rPr>
          <w:rFonts w:eastAsia="Calibri" w:cs="Times New Roman"/>
          <w:szCs w:val="22"/>
        </w:rPr>
        <w:t xml:space="preserve">. </w:t>
      </w:r>
    </w:p>
    <w:p w14:paraId="330A31CE" w14:textId="294AA2A4" w:rsidR="00007E3F" w:rsidRPr="00346C9E" w:rsidRDefault="00007E3F" w:rsidP="00007E3F">
      <w:pPr>
        <w:spacing w:after="240" w:line="240" w:lineRule="auto"/>
        <w:rPr>
          <w:rFonts w:eastAsia="Times New Roman" w:cs="Arial"/>
          <w:color w:val="2E74B5"/>
          <w:sz w:val="28"/>
          <w:szCs w:val="28"/>
        </w:rPr>
      </w:pPr>
      <w:r w:rsidRPr="00346C9E">
        <w:rPr>
          <w:rFonts w:eastAsia="Calibri" w:cs="Times New Roman"/>
          <w:b/>
          <w:bCs/>
          <w:szCs w:val="22"/>
        </w:rPr>
        <w:t xml:space="preserve">Key </w:t>
      </w:r>
      <w:r>
        <w:rPr>
          <w:rFonts w:eastAsia="Calibri" w:cs="Times New Roman"/>
          <w:b/>
          <w:bCs/>
          <w:szCs w:val="22"/>
        </w:rPr>
        <w:t>Recommendation</w:t>
      </w:r>
      <w:r w:rsidRPr="00346C9E">
        <w:rPr>
          <w:rFonts w:eastAsia="Calibri" w:cs="Times New Roman"/>
          <w:b/>
          <w:bCs/>
          <w:szCs w:val="22"/>
        </w:rPr>
        <w:t xml:space="preserve">s: </w:t>
      </w:r>
    </w:p>
    <w:p w14:paraId="7DCFD459" w14:textId="45FC05C7" w:rsidR="001E398A" w:rsidRDefault="001E398A" w:rsidP="001E398A">
      <w:pPr>
        <w:rPr>
          <w:rFonts w:eastAsia="Calibri" w:cs="Times New Roman"/>
          <w:szCs w:val="22"/>
        </w:rPr>
      </w:pPr>
      <w:hyperlink w:anchor="_(New)_Add_in"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R-1</w:t>
        </w:r>
      </w:hyperlink>
      <w:r w:rsidRPr="00623A53">
        <w:rPr>
          <w:rFonts w:eastAsia="Calibri" w:cs="Times New Roman"/>
          <w:szCs w:val="22"/>
        </w:rPr>
        <w:t>: Benton County Sustainable Materials Management Plan should be developed within a Sustainable Materials Management framework, reflecting full lifecycle impacts. The development of a Sustainable Materials Management Plan should consider 1) the 2040 Thriving Communities Initiative and our communities’ Core Values, 2) national, State</w:t>
      </w:r>
      <w:r w:rsidR="00B0195A">
        <w:rPr>
          <w:rFonts w:eastAsia="Calibri" w:cs="Times New Roman"/>
          <w:szCs w:val="22"/>
        </w:rPr>
        <w:t>,</w:t>
      </w:r>
      <w:r w:rsidRPr="00623A53">
        <w:rPr>
          <w:rFonts w:eastAsia="Calibri" w:cs="Times New Roman"/>
          <w:szCs w:val="22"/>
        </w:rPr>
        <w:t xml:space="preserve"> and local goals, vision documents, plans, policies, ordinances, etc.</w:t>
      </w:r>
      <w:r w:rsidR="00B0195A">
        <w:rPr>
          <w:rFonts w:eastAsia="Calibri" w:cs="Times New Roman"/>
          <w:szCs w:val="22"/>
        </w:rPr>
        <w:t>,</w:t>
      </w:r>
      <w:r w:rsidRPr="00623A53">
        <w:rPr>
          <w:rFonts w:eastAsia="Calibri" w:cs="Times New Roman"/>
          <w:szCs w:val="22"/>
        </w:rPr>
        <w:t xml:space="preserve"> relating to materials management and climate change, 3) examples of values and goals expressed in state and local jurisdiction materials management plans, and 4) long-term strategies (to 2040) with short-term action items (5 years or less).</w:t>
      </w:r>
    </w:p>
    <w:p w14:paraId="29126194" w14:textId="77777777" w:rsidR="001E398A" w:rsidRPr="00623A53" w:rsidRDefault="001E398A" w:rsidP="001E398A">
      <w:pPr>
        <w:rPr>
          <w:rFonts w:eastAsia="Calibri" w:cs="Times New Roman"/>
          <w:szCs w:val="22"/>
        </w:rPr>
      </w:pPr>
      <w:hyperlink w:anchor="_Subjects_to_be" w:history="1">
        <w:r w:rsidRPr="00934CF7">
          <w:rPr>
            <w:rStyle w:val="Hyperlink"/>
            <w:rFonts w:eastAsia="Calibri" w:cs="Times New Roman"/>
            <w:szCs w:val="22"/>
          </w:rPr>
          <w:t>SMMP R-2</w:t>
        </w:r>
      </w:hyperlink>
      <w:r w:rsidRPr="007F0EA6">
        <w:rPr>
          <w:rFonts w:eastAsia="Calibri" w:cs="Times New Roman"/>
          <w:szCs w:val="22"/>
        </w:rPr>
        <w:t xml:space="preserve">: </w:t>
      </w:r>
      <w:r>
        <w:rPr>
          <w:rFonts w:eastAsia="Calibri" w:cs="Times New Roman"/>
          <w:szCs w:val="22"/>
        </w:rPr>
        <w:t>The SMMP s</w:t>
      </w:r>
      <w:r w:rsidRPr="007F0EA6">
        <w:rPr>
          <w:rFonts w:eastAsia="Calibri" w:cs="Times New Roman"/>
          <w:szCs w:val="22"/>
        </w:rPr>
        <w:t xml:space="preserve">hould not just be about how Benton County </w:t>
      </w:r>
      <w:r>
        <w:rPr>
          <w:rFonts w:eastAsia="Calibri" w:cs="Times New Roman"/>
          <w:szCs w:val="22"/>
        </w:rPr>
        <w:t>can better manage materials</w:t>
      </w:r>
      <w:r w:rsidRPr="007F0EA6">
        <w:rPr>
          <w:rFonts w:eastAsia="Calibri" w:cs="Times New Roman"/>
          <w:szCs w:val="22"/>
        </w:rPr>
        <w:t xml:space="preserve">, but </w:t>
      </w:r>
      <w:r>
        <w:rPr>
          <w:rFonts w:eastAsia="Calibri" w:cs="Times New Roman"/>
          <w:szCs w:val="22"/>
        </w:rPr>
        <w:t xml:space="preserve">it should also </w:t>
      </w:r>
      <w:r w:rsidRPr="007F0EA6">
        <w:rPr>
          <w:rFonts w:eastAsia="Calibri" w:cs="Times New Roman"/>
          <w:szCs w:val="22"/>
        </w:rPr>
        <w:t>address how to approach inter</w:t>
      </w:r>
      <w:r>
        <w:rPr>
          <w:rFonts w:eastAsia="Calibri" w:cs="Times New Roman"/>
          <w:szCs w:val="22"/>
        </w:rPr>
        <w:t>-</w:t>
      </w:r>
      <w:r w:rsidRPr="007F0EA6">
        <w:rPr>
          <w:rFonts w:eastAsia="Calibri" w:cs="Times New Roman"/>
          <w:szCs w:val="22"/>
        </w:rPr>
        <w:t>county collaboration from a regional perspective.</w:t>
      </w:r>
    </w:p>
    <w:p w14:paraId="41363F5C" w14:textId="77777777" w:rsidR="001E398A" w:rsidRPr="007F0EA6" w:rsidRDefault="001E398A" w:rsidP="001E398A">
      <w:pPr>
        <w:rPr>
          <w:rFonts w:eastAsia="Calibri" w:cs="Times New Roman"/>
          <w:szCs w:val="22"/>
        </w:rPr>
      </w:pPr>
      <w:hyperlink w:anchor="_Who_needs_to" w:history="1">
        <w:r w:rsidRPr="00934CF7">
          <w:rPr>
            <w:rStyle w:val="Hyperlink"/>
            <w:rFonts w:eastAsia="Calibri" w:cs="Times New Roman"/>
            <w:szCs w:val="22"/>
          </w:rPr>
          <w:t>SMMP R-3</w:t>
        </w:r>
      </w:hyperlink>
      <w:r w:rsidRPr="007F0EA6">
        <w:rPr>
          <w:rFonts w:eastAsia="Calibri" w:cs="Times New Roman"/>
          <w:szCs w:val="22"/>
        </w:rPr>
        <w:t xml:space="preserve">: </w:t>
      </w:r>
      <w:r>
        <w:rPr>
          <w:rFonts w:eastAsia="Calibri" w:cs="Times New Roman"/>
          <w:szCs w:val="22"/>
        </w:rPr>
        <w:t>C</w:t>
      </w:r>
      <w:r w:rsidRPr="007F0EA6">
        <w:rPr>
          <w:rFonts w:eastAsia="Calibri" w:cs="Times New Roman"/>
          <w:szCs w:val="22"/>
        </w:rPr>
        <w:t>ounties</w:t>
      </w:r>
      <w:r>
        <w:rPr>
          <w:rFonts w:eastAsia="Calibri" w:cs="Times New Roman"/>
          <w:szCs w:val="22"/>
        </w:rPr>
        <w:t xml:space="preserve"> impacting Benton County through their materials management practices (including by contributing materials to Coffin Butte Landfill) </w:t>
      </w:r>
      <w:r w:rsidRPr="007F0EA6">
        <w:rPr>
          <w:rFonts w:eastAsia="Calibri" w:cs="Times New Roman"/>
          <w:szCs w:val="22"/>
        </w:rPr>
        <w:t xml:space="preserve">should have an SMMP in place. </w:t>
      </w:r>
      <w:r>
        <w:rPr>
          <w:rFonts w:eastAsia="Calibri" w:cs="Times New Roman"/>
          <w:szCs w:val="22"/>
        </w:rPr>
        <w:t>We need</w:t>
      </w:r>
      <w:r w:rsidRPr="007F0EA6">
        <w:rPr>
          <w:rFonts w:eastAsia="Calibri" w:cs="Times New Roman"/>
          <w:szCs w:val="22"/>
        </w:rPr>
        <w:t xml:space="preserve"> </w:t>
      </w:r>
      <w:r>
        <w:rPr>
          <w:rFonts w:eastAsia="Calibri" w:cs="Times New Roman"/>
          <w:szCs w:val="22"/>
        </w:rPr>
        <w:t xml:space="preserve">more </w:t>
      </w:r>
      <w:r w:rsidRPr="007F0EA6">
        <w:rPr>
          <w:rFonts w:eastAsia="Calibri" w:cs="Times New Roman"/>
          <w:szCs w:val="22"/>
        </w:rPr>
        <w:t xml:space="preserve">statewide resources to plan for </w:t>
      </w:r>
      <w:r>
        <w:rPr>
          <w:rFonts w:eastAsia="Calibri" w:cs="Times New Roman"/>
          <w:szCs w:val="22"/>
        </w:rPr>
        <w:t>the needed r</w:t>
      </w:r>
      <w:r w:rsidRPr="007F0EA6">
        <w:rPr>
          <w:rFonts w:eastAsia="Calibri" w:cs="Times New Roman"/>
          <w:szCs w:val="22"/>
        </w:rPr>
        <w:t>egional plan</w:t>
      </w:r>
      <w:r>
        <w:rPr>
          <w:rFonts w:eastAsia="Calibri" w:cs="Times New Roman"/>
          <w:szCs w:val="22"/>
        </w:rPr>
        <w:t>ning</w:t>
      </w:r>
      <w:r w:rsidRPr="007F0EA6">
        <w:rPr>
          <w:rFonts w:eastAsia="Calibri" w:cs="Times New Roman"/>
          <w:szCs w:val="22"/>
        </w:rPr>
        <w:t xml:space="preserve"> process.</w:t>
      </w:r>
    </w:p>
    <w:p w14:paraId="59298908" w14:textId="77777777" w:rsidR="001E398A" w:rsidRDefault="001E398A" w:rsidP="001E398A">
      <w:pPr>
        <w:rPr>
          <w:rFonts w:eastAsia="Calibri" w:cs="Times New Roman"/>
          <w:szCs w:val="22"/>
        </w:rPr>
      </w:pPr>
      <w:hyperlink w:anchor="_(Moved_from_Common"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4</w:t>
        </w:r>
        <w:r w:rsidRPr="00623A53">
          <w:rPr>
            <w:rFonts w:eastAsia="Calibri" w:cs="Times New Roman"/>
            <w:color w:val="0000FF"/>
            <w:szCs w:val="22"/>
            <w:u w:val="single"/>
          </w:rPr>
          <w:t>:</w:t>
        </w:r>
      </w:hyperlink>
      <w:r w:rsidRPr="00623A53">
        <w:rPr>
          <w:rFonts w:eastAsia="Calibri" w:cs="Times New Roman"/>
          <w:szCs w:val="22"/>
        </w:rPr>
        <w:t xml:space="preserve"> SMMP content should </w:t>
      </w:r>
      <w:r>
        <w:rPr>
          <w:rFonts w:eastAsia="Calibri" w:cs="Times New Roman"/>
          <w:szCs w:val="22"/>
        </w:rPr>
        <w:t xml:space="preserve">incorporate the sustainability of materials management strategies/tactics. </w:t>
      </w:r>
      <w:r w:rsidRPr="00953724">
        <w:rPr>
          <w:rFonts w:eastAsia="Calibri" w:cs="Times New Roman"/>
          <w:szCs w:val="22"/>
        </w:rPr>
        <w:t xml:space="preserve">The result of the process should give us a method of measuring cost-benefits that can be measured </w:t>
      </w:r>
      <w:r>
        <w:rPr>
          <w:rFonts w:eastAsia="Calibri" w:cs="Times New Roman"/>
          <w:szCs w:val="22"/>
        </w:rPr>
        <w:t>and evaluated</w:t>
      </w:r>
      <w:r w:rsidRPr="00953724">
        <w:rPr>
          <w:rFonts w:eastAsia="Calibri" w:cs="Times New Roman"/>
          <w:szCs w:val="22"/>
        </w:rPr>
        <w:t>.</w:t>
      </w:r>
      <w:r>
        <w:rPr>
          <w:rFonts w:eastAsia="Calibri" w:cs="Times New Roman"/>
          <w:szCs w:val="22"/>
        </w:rPr>
        <w:t xml:space="preserve"> An aspirational goal should include how materials in Benton County can fit within a </w:t>
      </w:r>
      <w:r w:rsidRPr="00623A53">
        <w:rPr>
          <w:rFonts w:eastAsia="Calibri" w:cs="Times New Roman"/>
          <w:szCs w:val="22"/>
        </w:rPr>
        <w:t xml:space="preserve">Circular economy </w:t>
      </w:r>
      <w:r>
        <w:rPr>
          <w:rFonts w:eastAsia="Calibri" w:cs="Times New Roman"/>
          <w:szCs w:val="22"/>
        </w:rPr>
        <w:t xml:space="preserve">framework. </w:t>
      </w:r>
    </w:p>
    <w:p w14:paraId="297AE53A" w14:textId="77777777" w:rsidR="001E398A" w:rsidRPr="00623A53" w:rsidRDefault="001E398A" w:rsidP="001E398A">
      <w:pPr>
        <w:rPr>
          <w:rFonts w:eastAsia="Calibri" w:cs="Times New Roman"/>
          <w:szCs w:val="22"/>
        </w:rPr>
      </w:pPr>
      <w:hyperlink w:anchor="_(Moved_from_Common"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5</w:t>
        </w:r>
      </w:hyperlink>
      <w:r w:rsidRPr="00623A53">
        <w:rPr>
          <w:rFonts w:eastAsia="Calibri" w:cs="Times New Roman"/>
          <w:szCs w:val="22"/>
        </w:rPr>
        <w:t>: The SMMP should clarify Benefit-Cost perspectives being addressed through an equity analysis, including 1) financial cost impacts associated with materials management and outcomes, 2) the equity of circular economy, how it engages and impacts consumers, 3) a perspective that goes beyond landfilling, and 4) a “who’s at the table” list of stakeholder perspectives.</w:t>
      </w:r>
    </w:p>
    <w:p w14:paraId="6AB8BC6E" w14:textId="77777777" w:rsidR="001E398A" w:rsidRPr="00623A53" w:rsidRDefault="001E398A" w:rsidP="001E398A">
      <w:pPr>
        <w:rPr>
          <w:rFonts w:eastAsia="Calibri" w:cs="Times New Roman"/>
          <w:szCs w:val="22"/>
        </w:rPr>
      </w:pPr>
      <w:hyperlink r:id="rId11" w:anchor="_What_"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6</w:t>
        </w:r>
      </w:hyperlink>
      <w:r w:rsidRPr="00623A53">
        <w:rPr>
          <w:rFonts w:eastAsia="Calibri" w:cs="Times New Roman"/>
          <w:szCs w:val="22"/>
        </w:rPr>
        <w:t xml:space="preserve">: Bring “lessons learned” into the process from other sources, including feedback from other counties, lessons from past Benton County experiences, examples from California, Washington, </w:t>
      </w:r>
      <w:r>
        <w:rPr>
          <w:rFonts w:eastAsia="Calibri" w:cs="Times New Roman"/>
          <w:szCs w:val="22"/>
        </w:rPr>
        <w:t>and</w:t>
      </w:r>
      <w:r w:rsidRPr="00623A53">
        <w:rPr>
          <w:rFonts w:eastAsia="Calibri" w:cs="Times New Roman"/>
          <w:szCs w:val="22"/>
        </w:rPr>
        <w:t xml:space="preserve"> international examples. See </w:t>
      </w:r>
      <w:r>
        <w:rPr>
          <w:rFonts w:eastAsia="Calibri" w:cs="Times New Roman"/>
          <w:szCs w:val="22"/>
        </w:rPr>
        <w:t xml:space="preserve">the </w:t>
      </w:r>
      <w:r w:rsidRPr="00623A53">
        <w:rPr>
          <w:rFonts w:eastAsia="Calibri" w:cs="Times New Roman"/>
          <w:szCs w:val="22"/>
        </w:rPr>
        <w:t>full report for more sources.</w:t>
      </w:r>
    </w:p>
    <w:p w14:paraId="4C21CA69" w14:textId="77777777" w:rsidR="001E398A" w:rsidRPr="000C40CD" w:rsidRDefault="001E398A" w:rsidP="001E398A">
      <w:pPr>
        <w:rPr>
          <w:rFonts w:eastAsia="Calibri" w:cs="Times New Roman"/>
          <w:szCs w:val="22"/>
        </w:rPr>
      </w:pPr>
      <w:hyperlink w:anchor="_Who_needs_to"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7</w:t>
        </w:r>
      </w:hyperlink>
      <w:r w:rsidRPr="00623A53">
        <w:rPr>
          <w:rFonts w:eastAsia="Calibri" w:cs="Times New Roman"/>
          <w:szCs w:val="22"/>
        </w:rPr>
        <w:t xml:space="preserve">: Beyond those in the County, a wide assortment of stakeholders should be brought to the table. Stakeholders include community members, advocacy groups, businesses and industry, local and state </w:t>
      </w:r>
      <w:r>
        <w:rPr>
          <w:rFonts w:eastAsia="Calibri" w:cs="Times New Roman"/>
          <w:szCs w:val="22"/>
        </w:rPr>
        <w:t>governments</w:t>
      </w:r>
      <w:r w:rsidRPr="00623A53">
        <w:rPr>
          <w:rFonts w:eastAsia="Calibri" w:cs="Times New Roman"/>
          <w:szCs w:val="22"/>
        </w:rPr>
        <w:t>, and resources for innovation. See report for full stakeholder list.</w:t>
      </w:r>
      <w:r>
        <w:rPr>
          <w:rFonts w:eastAsia="Calibri" w:cs="Times New Roman"/>
          <w:szCs w:val="22"/>
        </w:rPr>
        <w:t xml:space="preserve"> </w:t>
      </w:r>
      <w:r w:rsidRPr="006777FA">
        <w:t>The consultant should provide recommendations based on analysis and extensive outreach and engagement with community stakeholders from the “who should be at the table”</w:t>
      </w:r>
      <w:r>
        <w:t xml:space="preserve"> list</w:t>
      </w:r>
      <w:r w:rsidRPr="006777FA">
        <w:t>.</w:t>
      </w:r>
      <w:r>
        <w:t xml:space="preserve"> These stakeholders should represent a broader area than Benton County.</w:t>
      </w:r>
    </w:p>
    <w:p w14:paraId="475F010D" w14:textId="77777777" w:rsidR="001E398A" w:rsidRPr="003874B8" w:rsidRDefault="001E398A" w:rsidP="001E398A">
      <w:pPr>
        <w:rPr>
          <w:rFonts w:eastAsia="Calibri" w:cs="Times New Roman"/>
          <w:szCs w:val="22"/>
        </w:rPr>
      </w:pPr>
      <w:hyperlink w:anchor="_Contracting_out;" w:history="1">
        <w:r w:rsidRPr="00934CF7">
          <w:rPr>
            <w:rStyle w:val="Hyperlink"/>
            <w:rFonts w:eastAsia="Calibri" w:cs="Times New Roman"/>
            <w:szCs w:val="22"/>
          </w:rPr>
          <w:t>SMMP R-8</w:t>
        </w:r>
      </w:hyperlink>
      <w:r>
        <w:rPr>
          <w:rFonts w:eastAsia="Calibri" w:cs="Times New Roman"/>
          <w:szCs w:val="22"/>
        </w:rPr>
        <w:t xml:space="preserve">: </w:t>
      </w:r>
      <w:r w:rsidRPr="00823FE7">
        <w:rPr>
          <w:rFonts w:eastAsia="Calibri" w:cs="Times New Roman"/>
          <w:szCs w:val="22"/>
        </w:rPr>
        <w:t xml:space="preserve">It is recommended that the RFP indicate the need for researching and exploring opportunities for a regional multi-county approach to achieve the goals of sustainable materials management. </w:t>
      </w:r>
      <w:r w:rsidRPr="003874B8">
        <w:rPr>
          <w:rFonts w:eastAsia="Calibri" w:cs="Times New Roman"/>
          <w:szCs w:val="22"/>
        </w:rPr>
        <w:t>RFP firms with experience with Oregon’s materials management legislation, policies</w:t>
      </w:r>
      <w:r>
        <w:rPr>
          <w:rFonts w:eastAsia="Calibri" w:cs="Times New Roman"/>
          <w:szCs w:val="22"/>
        </w:rPr>
        <w:t>,</w:t>
      </w:r>
      <w:r w:rsidRPr="003874B8">
        <w:rPr>
          <w:rFonts w:eastAsia="Calibri" w:cs="Times New Roman"/>
          <w:szCs w:val="22"/>
        </w:rPr>
        <w:t xml:space="preserve"> and other county materials management plans may </w:t>
      </w:r>
      <w:r>
        <w:rPr>
          <w:rFonts w:eastAsia="Calibri" w:cs="Times New Roman"/>
          <w:szCs w:val="22"/>
        </w:rPr>
        <w:t>be able</w:t>
      </w:r>
      <w:r w:rsidRPr="003874B8">
        <w:rPr>
          <w:rFonts w:eastAsia="Calibri" w:cs="Times New Roman"/>
          <w:szCs w:val="22"/>
        </w:rPr>
        <w:t xml:space="preserve"> to address this need. (</w:t>
      </w:r>
      <w:r>
        <w:rPr>
          <w:rFonts w:eastAsia="Calibri" w:cs="Times New Roman"/>
          <w:szCs w:val="22"/>
        </w:rPr>
        <w:t>Recommendations about strategies to engage surrounding counties in addressing impacts of materials to follow.)</w:t>
      </w:r>
    </w:p>
    <w:p w14:paraId="22B82093" w14:textId="77777777" w:rsidR="001E398A" w:rsidRPr="003874B8" w:rsidRDefault="001E398A" w:rsidP="001E398A">
      <w:pPr>
        <w:rPr>
          <w:rFonts w:eastAsia="Calibri" w:cs="Times New Roman"/>
          <w:szCs w:val="22"/>
        </w:rPr>
      </w:pPr>
      <w:hyperlink w:anchor="_Contracting_out;" w:history="1">
        <w:r w:rsidRPr="003874B8">
          <w:rPr>
            <w:rFonts w:eastAsia="Calibri" w:cs="Times New Roman"/>
            <w:color w:val="0563C1"/>
            <w:szCs w:val="22"/>
            <w:u w:val="single"/>
          </w:rPr>
          <w:t>SMMP R-9</w:t>
        </w:r>
      </w:hyperlink>
      <w:r w:rsidRPr="003874B8">
        <w:rPr>
          <w:rFonts w:eastAsia="Calibri" w:cs="Times New Roman"/>
          <w:szCs w:val="22"/>
        </w:rPr>
        <w:t xml:space="preserve">: Benton County should use an RFP to find consultant(s) for developing a Sustainable Materials Management Plan. </w:t>
      </w:r>
    </w:p>
    <w:p w14:paraId="0CC65A82" w14:textId="77777777" w:rsidR="001E398A" w:rsidRPr="00623A53" w:rsidRDefault="001E398A" w:rsidP="001E398A">
      <w:pPr>
        <w:rPr>
          <w:rFonts w:eastAsia="Calibri" w:cs="Times New Roman"/>
          <w:szCs w:val="22"/>
        </w:rPr>
      </w:pPr>
      <w:hyperlink w:anchor="_Subjects_to_b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10</w:t>
        </w:r>
      </w:hyperlink>
      <w:r w:rsidRPr="00623A53">
        <w:rPr>
          <w:rFonts w:ascii="Calibri" w:eastAsia="Calibri" w:hAnsi="Calibri" w:cs="Times New Roman"/>
          <w:color w:val="0563C1"/>
          <w:szCs w:val="22"/>
          <w:u w:val="single"/>
        </w:rPr>
        <w:t>:</w:t>
      </w:r>
      <w:r w:rsidRPr="00623A53">
        <w:rPr>
          <w:rFonts w:eastAsia="Calibri" w:cs="Times New Roman"/>
          <w:szCs w:val="22"/>
        </w:rPr>
        <w:t xml:space="preserve"> The SMMP should address the subjects listed in the full subcommittee report, answering the questions listed as RFP priorities allow.</w:t>
      </w:r>
    </w:p>
    <w:p w14:paraId="308ADC0F" w14:textId="77777777" w:rsidR="001E398A" w:rsidRPr="00623A53" w:rsidRDefault="001E398A" w:rsidP="001E398A">
      <w:pPr>
        <w:rPr>
          <w:rFonts w:eastAsia="Calibri" w:cs="Times New Roman"/>
          <w:szCs w:val="22"/>
        </w:rPr>
      </w:pPr>
      <w:hyperlink w:anchor="_Contracting_out;"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11</w:t>
        </w:r>
      </w:hyperlink>
      <w:r w:rsidRPr="00623A53">
        <w:rPr>
          <w:rFonts w:eastAsia="Calibri" w:cs="Times New Roman"/>
          <w:szCs w:val="22"/>
        </w:rPr>
        <w:t xml:space="preserve">: Recruitment for the RFP needs to be extensive, and </w:t>
      </w:r>
      <w:r>
        <w:rPr>
          <w:rFonts w:eastAsia="Calibri" w:cs="Times New Roman"/>
          <w:szCs w:val="22"/>
        </w:rPr>
        <w:t xml:space="preserve">the </w:t>
      </w:r>
      <w:r w:rsidRPr="00623A53">
        <w:rPr>
          <w:rFonts w:eastAsia="Calibri" w:cs="Times New Roman"/>
          <w:szCs w:val="22"/>
        </w:rPr>
        <w:t xml:space="preserve">selection of </w:t>
      </w:r>
      <w:r>
        <w:rPr>
          <w:rFonts w:eastAsia="Calibri" w:cs="Times New Roman"/>
          <w:szCs w:val="22"/>
        </w:rPr>
        <w:t xml:space="preserve">a </w:t>
      </w:r>
      <w:r w:rsidRPr="00623A53">
        <w:rPr>
          <w:rFonts w:eastAsia="Calibri" w:cs="Times New Roman"/>
          <w:szCs w:val="22"/>
        </w:rPr>
        <w:t>successful proposal should be careful and thorough. Qualities of a successful applicant should include those listed in the full subcommittee report.</w:t>
      </w:r>
    </w:p>
    <w:p w14:paraId="5A28F314" w14:textId="77777777" w:rsidR="001E398A" w:rsidRPr="00623A53" w:rsidRDefault="001E398A" w:rsidP="001E398A">
      <w:pPr>
        <w:rPr>
          <w:rFonts w:eastAsia="Calibri" w:cs="Times New Roman"/>
          <w:szCs w:val="22"/>
        </w:rPr>
      </w:pPr>
      <w:hyperlink w:anchor="_A_workplan_outline" w:history="1">
        <w:r w:rsidRPr="00934CF7">
          <w:rPr>
            <w:rStyle w:val="Hyperlink"/>
            <w:rFonts w:eastAsia="Calibri" w:cs="Times New Roman"/>
            <w:szCs w:val="22"/>
          </w:rPr>
          <w:t>SMMP R-12</w:t>
        </w:r>
      </w:hyperlink>
      <w:r w:rsidRPr="00623A53">
        <w:rPr>
          <w:rFonts w:eastAsia="Calibri" w:cs="Times New Roman"/>
          <w:szCs w:val="22"/>
        </w:rPr>
        <w:t>: The scope of work for this project is expected to be broad and comprehensive, with specific goals recommended for the County to consider as milestones.</w:t>
      </w:r>
    </w:p>
    <w:p w14:paraId="700238FA" w14:textId="77777777" w:rsidR="001E398A" w:rsidRPr="00623A53" w:rsidRDefault="001E398A" w:rsidP="001E398A">
      <w:pPr>
        <w:rPr>
          <w:rFonts w:eastAsia="Calibri" w:cs="Times New Roman"/>
          <w:szCs w:val="22"/>
        </w:rPr>
      </w:pPr>
      <w:hyperlink w:anchor="_Contracting_out;"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R-1</w:t>
        </w:r>
        <w:r>
          <w:rPr>
            <w:rFonts w:eastAsia="Calibri" w:cs="Times New Roman"/>
            <w:color w:val="0563C1"/>
            <w:szCs w:val="22"/>
            <w:u w:val="single"/>
          </w:rPr>
          <w:t>3</w:t>
        </w:r>
      </w:hyperlink>
      <w:r w:rsidRPr="00623A53">
        <w:rPr>
          <w:rFonts w:eastAsia="Calibri" w:cs="Times New Roman"/>
          <w:szCs w:val="22"/>
        </w:rPr>
        <w:t>: The RFP development process should: 1) provide details about the Workgroup process and its findings to RFP applicants, 2) prioritize topics, adding additional topics that are important to consider, and 3) communicate accurate priorities to applicants.</w:t>
      </w:r>
    </w:p>
    <w:p w14:paraId="2050D28C" w14:textId="77777777" w:rsidR="001E398A" w:rsidRPr="00623A53" w:rsidRDefault="001E398A" w:rsidP="001E398A">
      <w:pPr>
        <w:rPr>
          <w:rFonts w:eastAsia="Calibri" w:cs="Times New Roman"/>
          <w:szCs w:val="22"/>
        </w:rPr>
      </w:pPr>
      <w:hyperlink w:anchor="_A_workplan_outlin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R-1</w:t>
        </w:r>
        <w:r>
          <w:rPr>
            <w:rFonts w:eastAsia="Calibri" w:cs="Times New Roman"/>
            <w:color w:val="0563C1"/>
            <w:szCs w:val="22"/>
            <w:u w:val="single"/>
          </w:rPr>
          <w:t>4</w:t>
        </w:r>
      </w:hyperlink>
      <w:r w:rsidRPr="00623A53">
        <w:rPr>
          <w:rFonts w:eastAsia="Calibri" w:cs="Times New Roman"/>
          <w:szCs w:val="22"/>
        </w:rPr>
        <w:t xml:space="preserve">: Members of this BCTT SMMP subcommittee should be offered to participate in subsequent stakeholder group meetings for RFP development and review. SWAC/DSAC should have an advisory role during the </w:t>
      </w:r>
      <w:r>
        <w:rPr>
          <w:rFonts w:eastAsia="Calibri" w:cs="Times New Roman"/>
          <w:szCs w:val="22"/>
        </w:rPr>
        <w:t>plan’s development</w:t>
      </w:r>
      <w:r w:rsidRPr="00623A53">
        <w:rPr>
          <w:rFonts w:eastAsia="Calibri" w:cs="Times New Roman"/>
          <w:szCs w:val="22"/>
        </w:rPr>
        <w:t>.</w:t>
      </w:r>
    </w:p>
    <w:p w14:paraId="57AA04EC" w14:textId="77777777" w:rsidR="001E398A" w:rsidRPr="00623A53" w:rsidRDefault="001E398A" w:rsidP="001E398A">
      <w:pPr>
        <w:rPr>
          <w:rFonts w:eastAsia="Calibri" w:cs="Times New Roman"/>
          <w:szCs w:val="22"/>
        </w:rPr>
      </w:pPr>
      <w:hyperlink w:anchor="_Contracting_out;"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R-1</w:t>
        </w:r>
        <w:r>
          <w:rPr>
            <w:rFonts w:eastAsia="Calibri" w:cs="Times New Roman"/>
            <w:color w:val="0563C1"/>
            <w:szCs w:val="22"/>
            <w:u w:val="single"/>
          </w:rPr>
          <w:t>5</w:t>
        </w:r>
      </w:hyperlink>
      <w:r w:rsidRPr="00623A53">
        <w:rPr>
          <w:rFonts w:eastAsia="Calibri" w:cs="Times New Roman"/>
          <w:szCs w:val="22"/>
        </w:rPr>
        <w:t>: The RFP Release/Announcement should 1) communicate an expectation that this plan can be approached by teams (multiple firms) instead of just single firms, 2) put guidelines on the size/length of proposals and sections of proposals, and 3) be distributed to allow enough time for it to be posted to various trade groups, shared with underrepresented groups and internationally minded outlets.</w:t>
      </w:r>
    </w:p>
    <w:p w14:paraId="308BB730" w14:textId="77777777" w:rsidR="001E398A" w:rsidRPr="00623A53" w:rsidRDefault="001E398A" w:rsidP="001E398A">
      <w:pPr>
        <w:rPr>
          <w:rFonts w:eastAsia="Calibri" w:cs="Times New Roman"/>
          <w:szCs w:val="22"/>
        </w:rPr>
      </w:pPr>
      <w:hyperlink w:anchor="_A_workplan_outlin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R-1</w:t>
        </w:r>
        <w:r>
          <w:rPr>
            <w:rFonts w:eastAsia="Calibri" w:cs="Times New Roman"/>
            <w:color w:val="0563C1"/>
            <w:szCs w:val="22"/>
            <w:u w:val="single"/>
          </w:rPr>
          <w:t>6</w:t>
        </w:r>
      </w:hyperlink>
      <w:r w:rsidRPr="00623A53">
        <w:rPr>
          <w:rFonts w:eastAsia="Calibri" w:cs="Times New Roman"/>
          <w:szCs w:val="22"/>
        </w:rPr>
        <w:t>: The County should share the various steps of the process with the public, making updates available and demonstrating transparency (Cross-referencing subcommittee E.1. work).</w:t>
      </w:r>
    </w:p>
    <w:p w14:paraId="7AFF8407" w14:textId="77777777" w:rsidR="001E398A" w:rsidRPr="00623A53" w:rsidRDefault="001E398A" w:rsidP="001E398A">
      <w:pPr>
        <w:rPr>
          <w:rFonts w:eastAsia="Calibri" w:cs="Times New Roman"/>
          <w:szCs w:val="22"/>
        </w:rPr>
      </w:pPr>
      <w:hyperlink w:anchor="_A_workplan_outlin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R-1</w:t>
        </w:r>
        <w:r>
          <w:rPr>
            <w:rFonts w:eastAsia="Calibri" w:cs="Times New Roman"/>
            <w:color w:val="0563C1"/>
            <w:szCs w:val="22"/>
            <w:u w:val="single"/>
          </w:rPr>
          <w:t>7</w:t>
        </w:r>
        <w:r w:rsidRPr="00623A53">
          <w:rPr>
            <w:rFonts w:eastAsia="Calibri" w:cs="Times New Roman"/>
            <w:color w:val="0000FF"/>
            <w:szCs w:val="22"/>
            <w:u w:val="single"/>
          </w:rPr>
          <w:t>:</w:t>
        </w:r>
      </w:hyperlink>
      <w:r w:rsidRPr="00623A53">
        <w:rPr>
          <w:rFonts w:eastAsia="Calibri" w:cs="Times New Roman"/>
          <w:szCs w:val="22"/>
        </w:rPr>
        <w:t xml:space="preserve"> The RFP should demonstrate flexibility in allowing further work plan development after applications are reviewed and accepted.</w:t>
      </w:r>
    </w:p>
    <w:p w14:paraId="3778E758" w14:textId="77777777" w:rsidR="001E398A" w:rsidRPr="00623A53" w:rsidRDefault="001E398A" w:rsidP="001E398A">
      <w:pPr>
        <w:rPr>
          <w:rFonts w:eastAsia="Calibri" w:cs="Times New Roman"/>
          <w:szCs w:val="22"/>
        </w:rPr>
      </w:pPr>
      <w:hyperlink w:anchor="_A_workplan_outlin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R-1</w:t>
        </w:r>
        <w:r>
          <w:rPr>
            <w:rFonts w:eastAsia="Calibri" w:cs="Times New Roman"/>
            <w:color w:val="0563C1"/>
            <w:szCs w:val="22"/>
            <w:u w:val="single"/>
          </w:rPr>
          <w:t>8</w:t>
        </w:r>
      </w:hyperlink>
      <w:r w:rsidRPr="00623A53">
        <w:rPr>
          <w:rFonts w:eastAsia="Calibri" w:cs="Times New Roman"/>
          <w:szCs w:val="22"/>
        </w:rPr>
        <w:t xml:space="preserve">: The </w:t>
      </w:r>
      <w:r>
        <w:rPr>
          <w:rFonts w:eastAsia="Calibri" w:cs="Times New Roman"/>
          <w:szCs w:val="22"/>
        </w:rPr>
        <w:t>overall project length</w:t>
      </w:r>
      <w:r w:rsidRPr="00623A53">
        <w:rPr>
          <w:rFonts w:eastAsia="Calibri" w:cs="Times New Roman"/>
          <w:szCs w:val="22"/>
        </w:rPr>
        <w:t xml:space="preserve"> will depend heavily on the level of public interaction/stakeholder engagement included in the project and by requirements from the county. During the public interaction/stakeholder engagement process, R&amp;D from </w:t>
      </w:r>
      <w:r>
        <w:rPr>
          <w:rFonts w:eastAsia="Calibri" w:cs="Times New Roman"/>
          <w:szCs w:val="22"/>
        </w:rPr>
        <w:t xml:space="preserve">the </w:t>
      </w:r>
      <w:r w:rsidRPr="00623A53">
        <w:rPr>
          <w:rFonts w:eastAsia="Calibri" w:cs="Times New Roman"/>
          <w:szCs w:val="22"/>
        </w:rPr>
        <w:t>consultant can occur in the background.</w:t>
      </w:r>
    </w:p>
    <w:p w14:paraId="344FFCE7" w14:textId="77777777" w:rsidR="001E398A" w:rsidRPr="00623A53" w:rsidRDefault="001E398A" w:rsidP="001E398A">
      <w:pPr>
        <w:rPr>
          <w:rFonts w:eastAsia="Calibri" w:cs="Times New Roman"/>
          <w:szCs w:val="22"/>
        </w:rPr>
      </w:pPr>
      <w:hyperlink w:anchor="_A_workplan_outlin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R-1</w:t>
        </w:r>
        <w:r>
          <w:rPr>
            <w:rFonts w:eastAsia="Calibri" w:cs="Times New Roman"/>
            <w:color w:val="0563C1"/>
            <w:szCs w:val="22"/>
            <w:u w:val="single"/>
          </w:rPr>
          <w:t>9</w:t>
        </w:r>
      </w:hyperlink>
      <w:r w:rsidRPr="00623A53">
        <w:rPr>
          <w:rFonts w:eastAsia="Calibri" w:cs="Times New Roman"/>
          <w:szCs w:val="22"/>
        </w:rPr>
        <w:t xml:space="preserve">: Applicants should include various scope/cost options for </w:t>
      </w:r>
      <w:r>
        <w:rPr>
          <w:rFonts w:eastAsia="Calibri" w:cs="Times New Roman"/>
          <w:szCs w:val="22"/>
        </w:rPr>
        <w:t>one-year</w:t>
      </w:r>
      <w:r w:rsidRPr="00623A53">
        <w:rPr>
          <w:rFonts w:eastAsia="Calibri" w:cs="Times New Roman"/>
          <w:szCs w:val="22"/>
        </w:rPr>
        <w:t>, two years, and three-year timelines. The report should be released in sections based on timeline and content priorities.</w:t>
      </w:r>
    </w:p>
    <w:p w14:paraId="7BA5ECE7" w14:textId="77777777" w:rsidR="001E398A" w:rsidRPr="00623A53" w:rsidRDefault="001E398A" w:rsidP="001E398A">
      <w:pPr>
        <w:rPr>
          <w:rFonts w:eastAsia="Calibri" w:cs="Times New Roman"/>
          <w:szCs w:val="22"/>
        </w:rPr>
      </w:pPr>
      <w:hyperlink w:anchor="_A_workplan_outline" w:history="1">
        <w:r w:rsidRPr="00BE7066">
          <w:rPr>
            <w:rStyle w:val="Hyperlink"/>
            <w:rFonts w:eastAsia="Calibri" w:cs="Times New Roman"/>
            <w:szCs w:val="22"/>
          </w:rPr>
          <w:t>SMMP</w:t>
        </w:r>
      </w:hyperlink>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20</w:t>
      </w:r>
      <w:r w:rsidRPr="00623A53">
        <w:rPr>
          <w:rFonts w:eastAsia="Calibri" w:cs="Times New Roman"/>
          <w:szCs w:val="22"/>
        </w:rPr>
        <w:t xml:space="preserve">: Include a Technical Advisory Committee (TAC), which </w:t>
      </w:r>
      <w:r>
        <w:rPr>
          <w:rFonts w:eastAsia="Calibri" w:cs="Times New Roman"/>
          <w:szCs w:val="22"/>
        </w:rPr>
        <w:t>vets</w:t>
      </w:r>
      <w:r w:rsidRPr="00623A53">
        <w:rPr>
          <w:rFonts w:eastAsia="Calibri" w:cs="Times New Roman"/>
          <w:szCs w:val="22"/>
        </w:rPr>
        <w:t xml:space="preserve"> technical information from a consultant and get to a place of consensus, and a Community Advisory Committee (CAC), which provide </w:t>
      </w:r>
      <w:r>
        <w:rPr>
          <w:rFonts w:eastAsia="Calibri" w:cs="Times New Roman"/>
          <w:szCs w:val="22"/>
        </w:rPr>
        <w:t xml:space="preserve">a </w:t>
      </w:r>
      <w:r w:rsidRPr="00623A53">
        <w:rPr>
          <w:rFonts w:eastAsia="Calibri" w:cs="Times New Roman"/>
          <w:szCs w:val="22"/>
        </w:rPr>
        <w:t>review in the technical experts’ areas of disagreement. SMMP Sub-Committee members should be included in the CAC.</w:t>
      </w:r>
    </w:p>
    <w:p w14:paraId="277E4298" w14:textId="77777777" w:rsidR="001E398A" w:rsidRPr="00623A53" w:rsidRDefault="001E398A" w:rsidP="001E398A">
      <w:pPr>
        <w:rPr>
          <w:rFonts w:eastAsia="Calibri" w:cs="Times New Roman"/>
          <w:szCs w:val="22"/>
        </w:rPr>
      </w:pPr>
      <w:hyperlink w:anchor="_Contracting_out;"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21</w:t>
        </w:r>
      </w:hyperlink>
      <w:r w:rsidRPr="00623A53">
        <w:rPr>
          <w:rFonts w:eastAsia="Calibri" w:cs="Times New Roman"/>
          <w:szCs w:val="22"/>
        </w:rPr>
        <w:t xml:space="preserve">: Proposals contain the following information, with parameters around each </w:t>
      </w:r>
      <w:r>
        <w:rPr>
          <w:rFonts w:eastAsia="Calibri" w:cs="Times New Roman"/>
          <w:szCs w:val="22"/>
        </w:rPr>
        <w:t>item</w:t>
      </w:r>
      <w:r w:rsidRPr="00623A53">
        <w:rPr>
          <w:rFonts w:eastAsia="Calibri" w:cs="Times New Roman"/>
          <w:szCs w:val="22"/>
        </w:rPr>
        <w:t xml:space="preserve"> </w:t>
      </w:r>
      <w:r>
        <w:rPr>
          <w:rFonts w:eastAsia="Calibri" w:cs="Times New Roman"/>
          <w:szCs w:val="22"/>
        </w:rPr>
        <w:t>regarding</w:t>
      </w:r>
      <w:r w:rsidRPr="00623A53">
        <w:rPr>
          <w:rFonts w:eastAsia="Calibri" w:cs="Times New Roman"/>
          <w:szCs w:val="22"/>
        </w:rPr>
        <w:t xml:space="preserve"> document length. </w:t>
      </w:r>
      <w:r>
        <w:rPr>
          <w:rFonts w:eastAsia="Calibri" w:cs="Times New Roman"/>
          <w:szCs w:val="22"/>
        </w:rPr>
        <w:t>The requested</w:t>
      </w:r>
      <w:r w:rsidRPr="00623A53">
        <w:rPr>
          <w:rFonts w:eastAsia="Calibri" w:cs="Times New Roman"/>
          <w:szCs w:val="22"/>
        </w:rPr>
        <w:t xml:space="preserve"> information includes project team experience and qualifications, understanding of the project, approach to the scope of work, </w:t>
      </w:r>
      <w:r>
        <w:rPr>
          <w:rFonts w:eastAsia="Calibri" w:cs="Times New Roman"/>
          <w:szCs w:val="22"/>
        </w:rPr>
        <w:t xml:space="preserve">proposal cost, </w:t>
      </w:r>
      <w:r w:rsidRPr="00623A53">
        <w:rPr>
          <w:rFonts w:eastAsia="Calibri" w:cs="Times New Roman"/>
          <w:szCs w:val="22"/>
        </w:rPr>
        <w:lastRenderedPageBreak/>
        <w:t xml:space="preserve">project schedule, social/environmental responsibility, and references. Each </w:t>
      </w:r>
      <w:r>
        <w:rPr>
          <w:rFonts w:eastAsia="Calibri" w:cs="Times New Roman"/>
          <w:szCs w:val="22"/>
        </w:rPr>
        <w:t>criterion</w:t>
      </w:r>
      <w:r w:rsidRPr="00623A53">
        <w:rPr>
          <w:rFonts w:eastAsia="Calibri" w:cs="Times New Roman"/>
          <w:szCs w:val="22"/>
        </w:rPr>
        <w:t xml:space="preserve"> includes a total set of points the proposal can be awarded. See </w:t>
      </w:r>
      <w:r>
        <w:rPr>
          <w:rFonts w:eastAsia="Calibri" w:cs="Times New Roman"/>
          <w:szCs w:val="22"/>
        </w:rPr>
        <w:t xml:space="preserve">the </w:t>
      </w:r>
      <w:r w:rsidRPr="00623A53">
        <w:rPr>
          <w:rFonts w:eastAsia="Calibri" w:cs="Times New Roman"/>
          <w:szCs w:val="22"/>
        </w:rPr>
        <w:t>full report for more information.</w:t>
      </w:r>
    </w:p>
    <w:p w14:paraId="31CD919E" w14:textId="77777777" w:rsidR="001E398A" w:rsidRPr="00623A53" w:rsidRDefault="001E398A" w:rsidP="001E398A">
      <w:pPr>
        <w:rPr>
          <w:rFonts w:eastAsia="Calibri" w:cs="Times New Roman"/>
          <w:szCs w:val="22"/>
        </w:rPr>
      </w:pPr>
      <w:hyperlink w:anchor="_A_workplan_outlin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22</w:t>
        </w:r>
      </w:hyperlink>
      <w:r w:rsidRPr="00623A53">
        <w:rPr>
          <w:rFonts w:eastAsia="Calibri" w:cs="Times New Roman"/>
          <w:szCs w:val="22"/>
        </w:rPr>
        <w:t xml:space="preserve">: An evaluation team consisting of County staff and </w:t>
      </w:r>
      <w:r>
        <w:rPr>
          <w:rFonts w:eastAsia="Calibri" w:cs="Times New Roman"/>
          <w:szCs w:val="22"/>
        </w:rPr>
        <w:t>stakeholder group members</w:t>
      </w:r>
      <w:r w:rsidRPr="00623A53">
        <w:rPr>
          <w:rFonts w:eastAsia="Calibri" w:cs="Times New Roman"/>
          <w:szCs w:val="22"/>
        </w:rPr>
        <w:t xml:space="preserve"> should determine the best proposal deemed most qualified based on the above criteria. </w:t>
      </w:r>
    </w:p>
    <w:p w14:paraId="3658306B" w14:textId="77777777" w:rsidR="001E398A" w:rsidRPr="00623A53" w:rsidRDefault="001E398A" w:rsidP="001E398A">
      <w:pPr>
        <w:rPr>
          <w:rFonts w:eastAsia="Calibri" w:cs="Times New Roman"/>
          <w:szCs w:val="22"/>
        </w:rPr>
      </w:pPr>
      <w:hyperlink w:anchor="_Subjects_to_b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23</w:t>
        </w:r>
      </w:hyperlink>
      <w:r w:rsidRPr="00623A53">
        <w:rPr>
          <w:rFonts w:eastAsia="Calibri" w:cs="Times New Roman"/>
          <w:szCs w:val="22"/>
        </w:rPr>
        <w:t xml:space="preserve">: The SMMP should emphasize </w:t>
      </w:r>
      <w:r>
        <w:rPr>
          <w:rFonts w:eastAsia="Calibri" w:cs="Times New Roman"/>
          <w:szCs w:val="22"/>
        </w:rPr>
        <w:t xml:space="preserve">the </w:t>
      </w:r>
      <w:r w:rsidRPr="00623A53">
        <w:rPr>
          <w:rFonts w:eastAsia="Calibri" w:cs="Times New Roman"/>
          <w:szCs w:val="22"/>
        </w:rPr>
        <w:t xml:space="preserve">impacts of the results of the RFP on social equity </w:t>
      </w:r>
      <w:r>
        <w:rPr>
          <w:rFonts w:eastAsia="Calibri" w:cs="Times New Roman"/>
          <w:szCs w:val="22"/>
        </w:rPr>
        <w:t xml:space="preserve">and </w:t>
      </w:r>
      <w:r w:rsidRPr="00623A53">
        <w:rPr>
          <w:rFonts w:eastAsia="Calibri" w:cs="Times New Roman"/>
          <w:szCs w:val="22"/>
        </w:rPr>
        <w:t>innovation to understand and emphasize the upstream aspects of material sustainability and creative solutions that provide pathways for tangible long-term outcomes.</w:t>
      </w:r>
    </w:p>
    <w:p w14:paraId="285788D8" w14:textId="7046406D" w:rsidR="001E398A" w:rsidRDefault="001E398A" w:rsidP="001E398A">
      <w:hyperlink w:anchor="_A_workplan_outline" w:history="1">
        <w:r w:rsidRPr="00623A53">
          <w:rPr>
            <w:rFonts w:eastAsia="Calibri" w:cs="Times New Roman"/>
            <w:color w:val="0563C1"/>
            <w:szCs w:val="22"/>
            <w:u w:val="single"/>
          </w:rPr>
          <w:t>SMMP</w:t>
        </w:r>
        <w:r>
          <w:rPr>
            <w:rFonts w:eastAsia="Calibri" w:cs="Times New Roman"/>
            <w:color w:val="0563C1"/>
            <w:szCs w:val="22"/>
            <w:u w:val="single"/>
          </w:rPr>
          <w:t xml:space="preserve"> </w:t>
        </w:r>
        <w:r w:rsidRPr="00623A53">
          <w:rPr>
            <w:rFonts w:eastAsia="Calibri" w:cs="Times New Roman"/>
            <w:color w:val="0563C1"/>
            <w:szCs w:val="22"/>
            <w:u w:val="single"/>
          </w:rPr>
          <w:t>R-</w:t>
        </w:r>
        <w:r>
          <w:rPr>
            <w:rFonts w:eastAsia="Calibri" w:cs="Times New Roman"/>
            <w:color w:val="0563C1"/>
            <w:szCs w:val="22"/>
            <w:u w:val="single"/>
          </w:rPr>
          <w:t>24</w:t>
        </w:r>
      </w:hyperlink>
      <w:r w:rsidRPr="00623A53">
        <w:rPr>
          <w:rFonts w:eastAsia="Calibri" w:cs="Times New Roman"/>
          <w:szCs w:val="22"/>
        </w:rPr>
        <w:t xml:space="preserve">: The workplan should include ongoing adaptive management and refinement </w:t>
      </w:r>
      <w:r>
        <w:rPr>
          <w:rFonts w:eastAsia="Calibri" w:cs="Times New Roman"/>
          <w:szCs w:val="22"/>
        </w:rPr>
        <w:t xml:space="preserve">with a </w:t>
      </w:r>
      <w:r w:rsidRPr="00623A53">
        <w:rPr>
          <w:rFonts w:eastAsia="Calibri" w:cs="Times New Roman"/>
          <w:szCs w:val="22"/>
        </w:rPr>
        <w:t xml:space="preserve">timeline for completion. The sections of the workplan outline include RFP development and release, a webinar for prospective consultants, a pre-proposal Q&amp;A period, a period for application submittal, and the selection committee to identify shortlisted firms who are given time for </w:t>
      </w:r>
      <w:r>
        <w:rPr>
          <w:rFonts w:eastAsia="Calibri" w:cs="Times New Roman"/>
          <w:szCs w:val="22"/>
        </w:rPr>
        <w:t xml:space="preserve">an </w:t>
      </w:r>
      <w:r w:rsidRPr="00623A53">
        <w:rPr>
          <w:rFonts w:eastAsia="Calibri" w:cs="Times New Roman"/>
          <w:szCs w:val="22"/>
        </w:rPr>
        <w:t xml:space="preserve">additional presentation. The committee then evaluates proposals, selects a consultant, and develops a workplan with </w:t>
      </w:r>
      <w:r>
        <w:rPr>
          <w:rFonts w:eastAsia="Calibri" w:cs="Times New Roman"/>
          <w:szCs w:val="22"/>
        </w:rPr>
        <w:t>the chosen</w:t>
      </w:r>
      <w:r w:rsidRPr="00623A53">
        <w:rPr>
          <w:rFonts w:eastAsia="Calibri" w:cs="Times New Roman"/>
          <w:szCs w:val="22"/>
        </w:rPr>
        <w:t xml:space="preserve"> consultant. See </w:t>
      </w:r>
      <w:r>
        <w:rPr>
          <w:rFonts w:eastAsia="Calibri" w:cs="Times New Roman"/>
          <w:szCs w:val="22"/>
        </w:rPr>
        <w:t xml:space="preserve">the </w:t>
      </w:r>
      <w:r w:rsidRPr="00623A53">
        <w:rPr>
          <w:rFonts w:eastAsia="Calibri" w:cs="Times New Roman"/>
          <w:szCs w:val="22"/>
        </w:rPr>
        <w:t>full report for more information.</w:t>
      </w:r>
    </w:p>
    <w:p w14:paraId="14F42B8F" w14:textId="3AC22726" w:rsidR="000F2501" w:rsidRDefault="000F2501" w:rsidP="00941D63">
      <w:pPr>
        <w:pStyle w:val="Heading1"/>
        <w:jc w:val="center"/>
      </w:pPr>
      <w:bookmarkStart w:id="1" w:name="_Toc127990004"/>
      <w:r w:rsidRPr="000F2501">
        <w:t>Landfill Size/Capacity/LongevityA.1. Subcommittee</w:t>
      </w:r>
      <w:bookmarkEnd w:id="1"/>
    </w:p>
    <w:p w14:paraId="340D107C" w14:textId="77777777" w:rsidR="00FC7F32" w:rsidRDefault="00FC7F32" w:rsidP="000F2501">
      <w:pPr>
        <w:spacing w:after="240" w:line="240" w:lineRule="auto"/>
        <w:rPr>
          <w:rFonts w:eastAsia="Calibri" w:cs="Times New Roman"/>
          <w:b/>
          <w:bCs/>
          <w:szCs w:val="22"/>
        </w:rPr>
      </w:pPr>
    </w:p>
    <w:p w14:paraId="1A9452B6" w14:textId="6336454A" w:rsidR="000F2501" w:rsidRPr="000F2501" w:rsidRDefault="000F2501" w:rsidP="000F2501">
      <w:pPr>
        <w:spacing w:after="240" w:line="240" w:lineRule="auto"/>
        <w:rPr>
          <w:rFonts w:eastAsia="Times New Roman" w:cs="Arial"/>
          <w:color w:val="2E74B5"/>
          <w:sz w:val="28"/>
          <w:szCs w:val="28"/>
        </w:rPr>
      </w:pPr>
      <w:r w:rsidRPr="00C411AF">
        <w:rPr>
          <w:rFonts w:eastAsia="Calibri" w:cs="Times New Roman"/>
          <w:b/>
          <w:bCs/>
          <w:szCs w:val="22"/>
        </w:rPr>
        <w:t xml:space="preserve">Key Findings: </w:t>
      </w:r>
    </w:p>
    <w:p w14:paraId="4114BEC4" w14:textId="77777777" w:rsidR="000F2501" w:rsidRPr="00C411AF" w:rsidRDefault="000F2501" w:rsidP="000F2501">
      <w:pPr>
        <w:spacing w:after="240" w:line="240" w:lineRule="auto"/>
        <w:rPr>
          <w:rFonts w:eastAsia="Calibri" w:cs="Arial"/>
          <w:b/>
          <w:szCs w:val="22"/>
          <w:u w:val="single"/>
        </w:rPr>
      </w:pPr>
      <w:r w:rsidRPr="00C411AF">
        <w:rPr>
          <w:rFonts w:eastAsia="Calibri" w:cs="Arial"/>
          <w:b/>
          <w:szCs w:val="22"/>
          <w:u w:val="single"/>
        </w:rPr>
        <w:t>Landfill Estimated Remaining Life, Projected End of Life (EOL)</w:t>
      </w:r>
    </w:p>
    <w:p w14:paraId="53E74988" w14:textId="073A58D5" w:rsidR="000F2501" w:rsidRPr="00C411AF" w:rsidRDefault="00000000" w:rsidP="000F2501">
      <w:pPr>
        <w:spacing w:after="240" w:line="240" w:lineRule="auto"/>
        <w:rPr>
          <w:rFonts w:eastAsia="Calibri" w:cs="Times New Roman"/>
          <w:iCs/>
          <w:szCs w:val="22"/>
        </w:rPr>
      </w:pPr>
      <w:hyperlink w:anchor="_Section_3:_Landfill" w:history="1">
        <w:r w:rsidR="000F2501" w:rsidRPr="00357874">
          <w:rPr>
            <w:rStyle w:val="Hyperlink"/>
            <w:rFonts w:eastAsia="Calibri" w:cs="Times New Roman"/>
            <w:iCs/>
            <w:szCs w:val="22"/>
          </w:rPr>
          <w:t>LSCL-F-1</w:t>
        </w:r>
      </w:hyperlink>
      <w:r w:rsidR="000F2501">
        <w:rPr>
          <w:rFonts w:eastAsia="Calibri" w:cs="Times New Roman"/>
          <w:iCs/>
          <w:szCs w:val="22"/>
        </w:rPr>
        <w:t xml:space="preserve">: </w:t>
      </w:r>
      <w:r w:rsidR="000F2501" w:rsidRPr="00C411AF">
        <w:rPr>
          <w:rFonts w:eastAsia="Calibri" w:cs="Times New Roman"/>
          <w:iCs/>
          <w:szCs w:val="22"/>
        </w:rPr>
        <w:t>In 2003</w:t>
      </w:r>
      <w:r w:rsidR="00AC4714">
        <w:rPr>
          <w:rFonts w:eastAsia="Calibri" w:cs="Times New Roman"/>
          <w:iCs/>
          <w:szCs w:val="22"/>
        </w:rPr>
        <w:t>,</w:t>
      </w:r>
      <w:r w:rsidR="000F2501" w:rsidRPr="00C411AF">
        <w:rPr>
          <w:rFonts w:eastAsia="Calibri" w:cs="Times New Roman"/>
          <w:iCs/>
          <w:szCs w:val="22"/>
        </w:rPr>
        <w:t xml:space="preserve"> EOL was projected to be approximately 2074, with a Landfill Life estimate of 71 years (2003 East Triangle CUP document, Benton County file PC-03-11.pdf).  Twenty years later</w:t>
      </w:r>
      <w:r w:rsidR="00AC4714">
        <w:rPr>
          <w:rFonts w:eastAsia="Calibri" w:cs="Times New Roman"/>
          <w:iCs/>
          <w:szCs w:val="22"/>
        </w:rPr>
        <w:t>,</w:t>
      </w:r>
      <w:r w:rsidR="000F2501" w:rsidRPr="00C411AF">
        <w:rPr>
          <w:rFonts w:eastAsia="Calibri" w:cs="Times New Roman"/>
          <w:iCs/>
          <w:szCs w:val="22"/>
        </w:rPr>
        <w:t xml:space="preserve"> EOL is projected to be 2037-2039 with a Landfill Life of 14.5-16 years, a reduction of approximately 36 years of estimated life in 20 elapsed years.  In 2013 Valley Landfills Inc. reevaluated the </w:t>
      </w:r>
      <w:r w:rsidR="008C36F1" w:rsidRPr="008C36F1">
        <w:rPr>
          <w:rFonts w:eastAsia="Calibri" w:cs="Times New Roman"/>
          <w:iCs/>
          <w:szCs w:val="22"/>
        </w:rPr>
        <w:t>East Triangle’s waste placement stability engineering</w:t>
      </w:r>
      <w:r w:rsidR="000F2501" w:rsidRPr="00C411AF">
        <w:rPr>
          <w:rFonts w:eastAsia="Calibri" w:cs="Times New Roman"/>
          <w:iCs/>
          <w:szCs w:val="22"/>
        </w:rPr>
        <w:t>.  The East Triangle was removed from the landfill’s site development plan based on updated state seismic guidance for landfill stability.</w:t>
      </w:r>
    </w:p>
    <w:p w14:paraId="6AFCC88F" w14:textId="724C5BC9" w:rsidR="000F2501" w:rsidRPr="00C411AF" w:rsidRDefault="00000000" w:rsidP="000F2501">
      <w:pPr>
        <w:spacing w:after="240" w:line="240" w:lineRule="auto"/>
        <w:rPr>
          <w:rFonts w:eastAsia="Calibri" w:cs="Times New Roman"/>
          <w:iCs/>
          <w:szCs w:val="22"/>
        </w:rPr>
      </w:pPr>
      <w:hyperlink w:anchor="_Section_3:_Landfill" w:history="1">
        <w:r w:rsidR="000F2501" w:rsidRPr="00502F9C">
          <w:rPr>
            <w:rStyle w:val="Hyperlink"/>
            <w:rFonts w:eastAsia="Calibri" w:cs="Times New Roman"/>
            <w:iCs/>
            <w:szCs w:val="22"/>
          </w:rPr>
          <w:t>LSCL-F-2:</w:t>
        </w:r>
      </w:hyperlink>
      <w:r w:rsidR="000F2501">
        <w:rPr>
          <w:rFonts w:eastAsia="Calibri" w:cs="Times New Roman"/>
          <w:iCs/>
          <w:szCs w:val="22"/>
        </w:rPr>
        <w:t xml:space="preserve"> </w:t>
      </w:r>
      <w:r w:rsidR="000F2501" w:rsidRPr="00C411AF">
        <w:rPr>
          <w:rFonts w:eastAsia="Calibri" w:cs="Times New Roman"/>
          <w:iCs/>
          <w:szCs w:val="22"/>
        </w:rPr>
        <w:t>In 2013</w:t>
      </w:r>
      <w:r w:rsidR="008C36F1">
        <w:rPr>
          <w:rFonts w:eastAsia="Calibri" w:cs="Times New Roman"/>
          <w:iCs/>
          <w:szCs w:val="22"/>
        </w:rPr>
        <w:t>,</w:t>
      </w:r>
      <w:r w:rsidR="000F2501" w:rsidRPr="00C411AF">
        <w:rPr>
          <w:rFonts w:eastAsia="Calibri" w:cs="Times New Roman"/>
          <w:iCs/>
          <w:szCs w:val="22"/>
        </w:rPr>
        <w:t xml:space="preserve"> EOL was projected to be 2053-2062, with a Landfill Life estimate of 40-49 years. </w:t>
      </w:r>
      <w:hyperlink r:id="rId12" w:history="1">
        <w:r w:rsidR="00A220B0" w:rsidRPr="002A31A0">
          <w:rPr>
            <w:rStyle w:val="Hyperlink"/>
          </w:rPr>
          <w:t>2013 Coffin Butte Landfill and Pacific Region Compost Annual Report</w:t>
        </w:r>
      </w:hyperlink>
      <w:r w:rsidR="00A220B0">
        <w:rPr>
          <w:rStyle w:val="Hyperlink"/>
        </w:rPr>
        <w:t xml:space="preserve">. </w:t>
      </w:r>
      <w:r w:rsidR="000F2501" w:rsidRPr="00C411AF">
        <w:rPr>
          <w:rFonts w:eastAsia="Calibri" w:cs="Times New Roman"/>
          <w:iCs/>
          <w:szCs w:val="22"/>
        </w:rPr>
        <w:t>Ten years later</w:t>
      </w:r>
      <w:r w:rsidR="0018646D">
        <w:rPr>
          <w:rFonts w:eastAsia="Calibri" w:cs="Times New Roman"/>
          <w:iCs/>
          <w:szCs w:val="22"/>
        </w:rPr>
        <w:t>,</w:t>
      </w:r>
      <w:r w:rsidR="000F2501" w:rsidRPr="00C411AF">
        <w:rPr>
          <w:rFonts w:eastAsia="Calibri" w:cs="Times New Roman"/>
          <w:iCs/>
          <w:szCs w:val="22"/>
        </w:rPr>
        <w:t xml:space="preserve"> EOL is projected to be 2037-2039 with a Landfill Life of 14-16 years </w:t>
      </w:r>
      <w:r w:rsidR="008C36F1">
        <w:rPr>
          <w:rFonts w:eastAsia="Calibri" w:cs="Times New Roman"/>
          <w:iCs/>
          <w:szCs w:val="22"/>
        </w:rPr>
        <w:t xml:space="preserve">and </w:t>
      </w:r>
      <w:r w:rsidR="000F2501" w:rsidRPr="00C411AF">
        <w:rPr>
          <w:rFonts w:eastAsia="Calibri" w:cs="Times New Roman"/>
          <w:iCs/>
          <w:szCs w:val="22"/>
        </w:rPr>
        <w:t>a lower and upper range reduction of approximately 16 and 23 years</w:t>
      </w:r>
      <w:r w:rsidR="008C36F1">
        <w:rPr>
          <w:rFonts w:eastAsia="Calibri" w:cs="Times New Roman"/>
          <w:iCs/>
          <w:szCs w:val="22"/>
        </w:rPr>
        <w:t>,</w:t>
      </w:r>
      <w:r w:rsidR="000F2501" w:rsidRPr="00C411AF">
        <w:rPr>
          <w:rFonts w:eastAsia="Calibri" w:cs="Times New Roman"/>
          <w:iCs/>
          <w:szCs w:val="22"/>
        </w:rPr>
        <w:t xml:space="preserve"> respectively.</w:t>
      </w:r>
    </w:p>
    <w:p w14:paraId="7EA71433" w14:textId="2DC127AB" w:rsidR="000F2501" w:rsidRPr="00C411AF" w:rsidRDefault="00000000" w:rsidP="000F2501">
      <w:pPr>
        <w:spacing w:after="240" w:line="240" w:lineRule="auto"/>
        <w:contextualSpacing/>
        <w:rPr>
          <w:rFonts w:eastAsia="Calibri" w:cs="Times New Roman"/>
          <w:iCs/>
          <w:szCs w:val="22"/>
        </w:rPr>
      </w:pPr>
      <w:hyperlink w:anchor="_Section_3:_Landfill" w:history="1">
        <w:r w:rsidR="000F2501" w:rsidRPr="00C411AF">
          <w:rPr>
            <w:rFonts w:eastAsia="Calibri" w:cs="Times New Roman"/>
            <w:iCs/>
            <w:szCs w:val="22"/>
            <w:u w:val="single"/>
          </w:rPr>
          <w:t>LSCL-F-3</w:t>
        </w:r>
      </w:hyperlink>
      <w:r w:rsidR="000F2501" w:rsidRPr="00C411AF">
        <w:rPr>
          <w:rFonts w:eastAsia="Calibri" w:cs="Times New Roman"/>
          <w:iCs/>
          <w:szCs w:val="22"/>
        </w:rPr>
        <w:t>: Current (1Q2023) estimate for landfill EOL = CY 2037 – 2039 based on an annual intake level of 1.0 – 1.1 M</w:t>
      </w:r>
      <w:r w:rsidR="00A220B0">
        <w:rPr>
          <w:rFonts w:eastAsia="Calibri" w:cs="Times New Roman"/>
          <w:iCs/>
          <w:szCs w:val="22"/>
        </w:rPr>
        <w:t xml:space="preserve"> </w:t>
      </w:r>
      <w:r w:rsidR="000F2501" w:rsidRPr="00C411AF">
        <w:rPr>
          <w:rFonts w:eastAsia="Calibri" w:cs="Times New Roman"/>
          <w:iCs/>
          <w:szCs w:val="22"/>
        </w:rPr>
        <w:t>Tons/year and a density of 0.999 Tons/yd3, assuming the quarry area will be fully excavated by the time the current disposal areas are full.</w:t>
      </w:r>
      <w:r w:rsidR="000F2501" w:rsidRPr="00C411AF">
        <w:rPr>
          <w:rFonts w:eastAsia="Calibri" w:cs="Times New Roman"/>
          <w:szCs w:val="22"/>
        </w:rPr>
        <w:t xml:space="preserve"> Valley Landfills, Inc. has represented that this nominal life projection (“baseline”) is derived from a few data points in annual measurements</w:t>
      </w:r>
      <w:r w:rsidR="0018646D" w:rsidRPr="0018646D">
        <w:rPr>
          <w:rFonts w:eastAsia="Calibri" w:cs="Times New Roman"/>
          <w:szCs w:val="22"/>
        </w:rPr>
        <w:t xml:space="preserve"> and is the product of a standard modeling process</w:t>
      </w:r>
      <w:r w:rsidR="000F2501" w:rsidRPr="00C411AF">
        <w:rPr>
          <w:rFonts w:eastAsia="Calibri" w:cs="Times New Roman"/>
          <w:szCs w:val="22"/>
        </w:rPr>
        <w:t xml:space="preserve"> in the landfill industry. Valley Landfills, Inc. acknowledges that </w:t>
      </w:r>
      <w:r w:rsidR="0018646D">
        <w:rPr>
          <w:rFonts w:eastAsia="Calibri" w:cs="Times New Roman"/>
          <w:szCs w:val="22"/>
        </w:rPr>
        <w:t>various</w:t>
      </w:r>
      <w:r w:rsidR="000F2501" w:rsidRPr="00C411AF">
        <w:rPr>
          <w:rFonts w:eastAsia="Calibri" w:cs="Times New Roman"/>
          <w:szCs w:val="22"/>
        </w:rPr>
        <w:t xml:space="preserve"> factors, including human factors, can </w:t>
      </w:r>
      <w:r w:rsidR="000F2501" w:rsidRPr="00C411AF">
        <w:rPr>
          <w:rFonts w:eastAsia="Calibri" w:cs="Times New Roman"/>
          <w:szCs w:val="22"/>
        </w:rPr>
        <w:lastRenderedPageBreak/>
        <w:t xml:space="preserve">impact landfill site life but are not included in this baseline calculation. Valley Landfills, Inc.’s baseline projection of a 2037-2039 closure date is based both upon existing demand and Valley Landfill Inc.’s efforts to maintain and/or grow its service area and business in the market. </w:t>
      </w:r>
    </w:p>
    <w:p w14:paraId="6ABEEB46" w14:textId="77777777" w:rsidR="000F2501" w:rsidRPr="00C411AF" w:rsidRDefault="000F2501" w:rsidP="000F2501">
      <w:pPr>
        <w:spacing w:after="240" w:line="240" w:lineRule="auto"/>
        <w:ind w:left="720"/>
        <w:contextualSpacing/>
        <w:rPr>
          <w:rFonts w:eastAsia="Calibri" w:cs="Times New Roman"/>
          <w:iCs/>
          <w:szCs w:val="22"/>
        </w:rPr>
      </w:pPr>
    </w:p>
    <w:p w14:paraId="3954DB49" w14:textId="283655F2" w:rsidR="000F2501" w:rsidRPr="00C411AF" w:rsidRDefault="00000000" w:rsidP="000F2501">
      <w:pPr>
        <w:spacing w:after="240" w:line="240" w:lineRule="auto"/>
        <w:contextualSpacing/>
        <w:rPr>
          <w:rFonts w:eastAsia="Calibri" w:cs="Times New Roman"/>
          <w:iCs/>
          <w:szCs w:val="22"/>
        </w:rPr>
      </w:pPr>
      <w:hyperlink w:anchor="_Section_3:_Landfill" w:history="1">
        <w:r w:rsidR="000F2501" w:rsidRPr="00357874">
          <w:rPr>
            <w:rStyle w:val="Hyperlink"/>
            <w:rFonts w:eastAsia="Calibri" w:cs="Times New Roman"/>
            <w:iCs/>
            <w:szCs w:val="22"/>
          </w:rPr>
          <w:t>LSCL-F-4</w:t>
        </w:r>
      </w:hyperlink>
      <w:r w:rsidR="000F2501" w:rsidRPr="00C411AF">
        <w:rPr>
          <w:rFonts w:eastAsia="Calibri" w:cs="Times New Roman"/>
          <w:iCs/>
          <w:szCs w:val="22"/>
        </w:rPr>
        <w:t>: The 2021 Site Development Plan projected a 2039 EOL based on an annual intake of approximately 846,000 Tons/year</w:t>
      </w:r>
      <w:r w:rsidR="0096196A">
        <w:rPr>
          <w:rFonts w:eastAsia="Calibri" w:cs="Times New Roman"/>
          <w:iCs/>
          <w:szCs w:val="22"/>
        </w:rPr>
        <w:t>. However,</w:t>
      </w:r>
      <w:r w:rsidR="000F2501" w:rsidRPr="00C411AF">
        <w:rPr>
          <w:rFonts w:eastAsia="Calibri" w:cs="Times New Roman"/>
          <w:iCs/>
          <w:szCs w:val="22"/>
        </w:rPr>
        <w:t xml:space="preserve"> this intake tonnage is not considered binding or controlling by either DEQ or Valley Landfills, Inc. This is based on the best information available at </w:t>
      </w:r>
      <w:r w:rsidR="002F7445">
        <w:rPr>
          <w:rFonts w:eastAsia="Calibri" w:cs="Times New Roman"/>
          <w:iCs/>
          <w:szCs w:val="22"/>
        </w:rPr>
        <w:t xml:space="preserve">the </w:t>
      </w:r>
      <w:r w:rsidR="000F2501" w:rsidRPr="00C411AF">
        <w:rPr>
          <w:rFonts w:eastAsia="Calibri" w:cs="Times New Roman"/>
          <w:iCs/>
          <w:szCs w:val="22"/>
        </w:rPr>
        <w:t xml:space="preserve">time of approval by Oregon DEQ, which can change based </w:t>
      </w:r>
      <w:r w:rsidR="002F7445">
        <w:rPr>
          <w:rFonts w:eastAsia="Calibri" w:cs="Times New Roman"/>
          <w:iCs/>
          <w:szCs w:val="22"/>
        </w:rPr>
        <w:t>on</w:t>
      </w:r>
      <w:r w:rsidR="000F2501" w:rsidRPr="00C411AF">
        <w:rPr>
          <w:rFonts w:eastAsia="Calibri" w:cs="Times New Roman"/>
          <w:iCs/>
          <w:szCs w:val="22"/>
        </w:rPr>
        <w:t xml:space="preserve"> service area impacts.</w:t>
      </w:r>
    </w:p>
    <w:p w14:paraId="076D46DB" w14:textId="77777777" w:rsidR="000F2501" w:rsidRPr="00C411AF" w:rsidRDefault="000F2501" w:rsidP="000F2501">
      <w:pPr>
        <w:spacing w:after="240" w:line="240" w:lineRule="auto"/>
        <w:contextualSpacing/>
        <w:rPr>
          <w:rFonts w:eastAsia="Calibri" w:cs="Times New Roman"/>
          <w:iCs/>
          <w:szCs w:val="22"/>
        </w:rPr>
      </w:pPr>
    </w:p>
    <w:p w14:paraId="0643F00B" w14:textId="1629D917" w:rsidR="000F2501" w:rsidRPr="00C411AF" w:rsidRDefault="00000000" w:rsidP="000F2501">
      <w:pPr>
        <w:spacing w:after="240" w:line="240" w:lineRule="auto"/>
        <w:contextualSpacing/>
        <w:rPr>
          <w:rFonts w:eastAsia="Calibri" w:cs="Times New Roman"/>
          <w:iCs/>
          <w:szCs w:val="22"/>
        </w:rPr>
      </w:pPr>
      <w:hyperlink w:anchor="_Coffin_Butte_Landfill:" w:history="1">
        <w:r w:rsidR="000F2501" w:rsidRPr="00502F9C">
          <w:rPr>
            <w:rStyle w:val="Hyperlink"/>
            <w:rFonts w:eastAsia="Calibri" w:cs="Calibri"/>
            <w:iCs/>
            <w:szCs w:val="22"/>
          </w:rPr>
          <w:t>LSCL-F-5:</w:t>
        </w:r>
      </w:hyperlink>
      <w:r w:rsidR="000F2501" w:rsidRPr="00C411AF">
        <w:rPr>
          <w:rFonts w:eastAsia="Calibri" w:cs="Calibri"/>
          <w:iCs/>
          <w:szCs w:val="22"/>
        </w:rPr>
        <w:t xml:space="preserve"> </w:t>
      </w:r>
      <w:r w:rsidR="000F2501" w:rsidRPr="00C411AF">
        <w:rPr>
          <w:rFonts w:eastAsia="Calibri" w:cs="Times New Roman"/>
          <w:iCs/>
          <w:szCs w:val="22"/>
        </w:rPr>
        <w:t xml:space="preserve">Under the 2020 Franchise Agreement, the 1.1M tonnage cap is eliminated upon Benton County's approval of a CUP (expansion). If intake volumes increase, an </w:t>
      </w:r>
      <w:r w:rsidR="000F2501" w:rsidRPr="00C411AF">
        <w:rPr>
          <w:rFonts w:eastAsia="Calibri" w:cs="Times New Roman"/>
          <w:b/>
          <w:bCs/>
          <w:iCs/>
          <w:szCs w:val="22"/>
        </w:rPr>
        <w:t>expansion would not necessarily guarantee an increase in site life</w:t>
      </w:r>
      <w:r w:rsidR="000F2501" w:rsidRPr="00C411AF">
        <w:rPr>
          <w:rFonts w:eastAsia="Calibri" w:cs="Times New Roman"/>
          <w:iCs/>
          <w:szCs w:val="22"/>
        </w:rPr>
        <w:t xml:space="preserve"> or </w:t>
      </w:r>
      <w:r w:rsidR="002F7445">
        <w:rPr>
          <w:rFonts w:eastAsia="Calibri" w:cs="Times New Roman"/>
          <w:iCs/>
          <w:szCs w:val="22"/>
        </w:rPr>
        <w:t>extending</w:t>
      </w:r>
      <w:r w:rsidR="000F2501" w:rsidRPr="00C411AF">
        <w:rPr>
          <w:rFonts w:eastAsia="Calibri" w:cs="Times New Roman"/>
          <w:iCs/>
          <w:szCs w:val="22"/>
        </w:rPr>
        <w:t xml:space="preserve"> the Landfill's closure date.</w:t>
      </w:r>
      <w:r w:rsidR="000F2501" w:rsidRPr="00C411AF">
        <w:rPr>
          <w:szCs w:val="22"/>
        </w:rPr>
        <w:t xml:space="preserve"> </w:t>
      </w:r>
      <w:r w:rsidR="000F2501" w:rsidRPr="00C411AF">
        <w:rPr>
          <w:rFonts w:eastAsia="Calibri" w:cs="Times New Roman"/>
          <w:iCs/>
          <w:szCs w:val="22"/>
        </w:rPr>
        <w:t>For example, if an expansion increases available airspace but intake volumes increase the fill rate even more, the overall life of the landfill could decrease.</w:t>
      </w:r>
    </w:p>
    <w:p w14:paraId="775C771D" w14:textId="77777777" w:rsidR="000F2501" w:rsidRPr="00C411AF" w:rsidRDefault="000F2501" w:rsidP="000F2501">
      <w:pPr>
        <w:contextualSpacing/>
        <w:rPr>
          <w:rFonts w:eastAsia="Calibri" w:cs="Times New Roman"/>
          <w:szCs w:val="22"/>
        </w:rPr>
      </w:pPr>
    </w:p>
    <w:p w14:paraId="31527851" w14:textId="098618BA" w:rsidR="000F2501" w:rsidRPr="00C411AF" w:rsidRDefault="00000000" w:rsidP="000F2501">
      <w:pPr>
        <w:contextualSpacing/>
        <w:rPr>
          <w:rFonts w:eastAsia="Calibri" w:cs="Times New Roman"/>
          <w:szCs w:val="22"/>
        </w:rPr>
      </w:pPr>
      <w:hyperlink w:anchor="_Appendix_A_" w:history="1">
        <w:r w:rsidR="000F2501" w:rsidRPr="001C70E8">
          <w:rPr>
            <w:rStyle w:val="Hyperlink"/>
            <w:rFonts w:eastAsia="Calibri" w:cs="Times New Roman"/>
            <w:szCs w:val="22"/>
          </w:rPr>
          <w:t>LSCL-F-6</w:t>
        </w:r>
      </w:hyperlink>
      <w:r w:rsidR="000F2501" w:rsidRPr="00C411AF">
        <w:rPr>
          <w:rFonts w:eastAsia="Calibri" w:cs="Times New Roman"/>
          <w:szCs w:val="22"/>
        </w:rPr>
        <w:t xml:space="preserve">: For this discussion, the subcommittee agreed to rely on data from the annual reports and other landfill filings with the county. EPA also provides data in their [GHG reporting webpage] that uses different data from another source. We do not know </w:t>
      </w:r>
      <w:r w:rsidR="002F7445">
        <w:rPr>
          <w:rFonts w:eastAsia="Calibri" w:cs="Times New Roman"/>
          <w:szCs w:val="22"/>
        </w:rPr>
        <w:t>the</w:t>
      </w:r>
      <w:r w:rsidR="000F2501" w:rsidRPr="00C411AF">
        <w:rPr>
          <w:rFonts w:eastAsia="Calibri" w:cs="Times New Roman"/>
          <w:szCs w:val="22"/>
        </w:rPr>
        <w:t xml:space="preserve"> source </w:t>
      </w:r>
      <w:r w:rsidR="0018646D">
        <w:rPr>
          <w:rFonts w:eastAsia="Calibri" w:cs="Times New Roman"/>
          <w:szCs w:val="22"/>
        </w:rPr>
        <w:t>or</w:t>
      </w:r>
      <w:r w:rsidR="000F2501" w:rsidRPr="00C411AF">
        <w:rPr>
          <w:rFonts w:eastAsia="Calibri" w:cs="Times New Roman"/>
          <w:szCs w:val="22"/>
        </w:rPr>
        <w:t xml:space="preserve"> reasons for the disconnect between these two data sets.</w:t>
      </w:r>
    </w:p>
    <w:p w14:paraId="43DE7ABE" w14:textId="77777777" w:rsidR="000F2501" w:rsidRPr="00C411AF" w:rsidRDefault="000F2501" w:rsidP="000F2501">
      <w:pPr>
        <w:contextualSpacing/>
        <w:rPr>
          <w:rFonts w:eastAsia="Calibri" w:cs="Times New Roman"/>
          <w:strike/>
          <w:szCs w:val="22"/>
        </w:rPr>
      </w:pPr>
    </w:p>
    <w:p w14:paraId="49179128" w14:textId="77777777" w:rsidR="000F2501" w:rsidRPr="00C411AF" w:rsidRDefault="00000000" w:rsidP="000F2501">
      <w:pPr>
        <w:spacing w:after="240" w:line="240" w:lineRule="auto"/>
        <w:contextualSpacing/>
        <w:rPr>
          <w:rFonts w:eastAsia="Calibri" w:cs="Times New Roman"/>
          <w:iCs/>
          <w:szCs w:val="22"/>
        </w:rPr>
      </w:pPr>
      <w:hyperlink w:anchor="_Events_and_Factors" w:history="1">
        <w:r w:rsidR="000F2501" w:rsidRPr="001C70E8">
          <w:rPr>
            <w:rStyle w:val="Hyperlink"/>
            <w:rFonts w:eastAsia="Calibri" w:cs="Times New Roman"/>
            <w:iCs/>
            <w:szCs w:val="22"/>
          </w:rPr>
          <w:t>LSCL-F-7</w:t>
        </w:r>
      </w:hyperlink>
      <w:r w:rsidR="000F2501" w:rsidRPr="00C411AF">
        <w:rPr>
          <w:rFonts w:eastAsia="Calibri" w:cs="Times New Roman"/>
          <w:iCs/>
          <w:szCs w:val="22"/>
        </w:rPr>
        <w:t>: Factors such as population growth and debris from disasters may drive up intake rates and thus shorten landfill life; factors such as recycling and waste diversion, plus emerging factors such as extended producer responsibility (EPR) incentives and climate crisis legislation, may drive down intake rates and thus lengthen landfill life.</w:t>
      </w:r>
    </w:p>
    <w:p w14:paraId="282885F9" w14:textId="77777777" w:rsidR="000F2501" w:rsidRPr="00C411AF" w:rsidRDefault="000F2501" w:rsidP="000F2501">
      <w:pPr>
        <w:ind w:left="720"/>
        <w:contextualSpacing/>
        <w:rPr>
          <w:rFonts w:eastAsia="Calibri" w:cs="Times New Roman"/>
          <w:szCs w:val="22"/>
        </w:rPr>
      </w:pPr>
    </w:p>
    <w:p w14:paraId="1730B697" w14:textId="77777777" w:rsidR="000F2501" w:rsidRPr="00C411AF" w:rsidRDefault="000F2501" w:rsidP="000F2501">
      <w:pPr>
        <w:spacing w:after="240" w:line="240" w:lineRule="auto"/>
        <w:rPr>
          <w:rFonts w:eastAsia="Calibri" w:cs="Arial"/>
          <w:b/>
          <w:szCs w:val="22"/>
          <w:u w:val="single"/>
        </w:rPr>
      </w:pPr>
      <w:r w:rsidRPr="00C411AF">
        <w:rPr>
          <w:rFonts w:eastAsia="Calibri" w:cs="Arial"/>
          <w:b/>
          <w:szCs w:val="22"/>
          <w:u w:val="single"/>
        </w:rPr>
        <w:t>Landfill Size: Capacity</w:t>
      </w:r>
    </w:p>
    <w:p w14:paraId="42D99014" w14:textId="48CA971C" w:rsidR="000F2501" w:rsidRPr="00C411AF" w:rsidRDefault="00000000" w:rsidP="000F2501">
      <w:pPr>
        <w:spacing w:after="240" w:line="240" w:lineRule="auto"/>
        <w:rPr>
          <w:rFonts w:eastAsia="Calibri" w:cs="Calibri"/>
          <w:iCs/>
          <w:szCs w:val="22"/>
        </w:rPr>
      </w:pPr>
      <w:hyperlink w:anchor="_Permitted_Disposal_Capacity" w:history="1">
        <w:r w:rsidR="000F2501" w:rsidRPr="001C70E8">
          <w:rPr>
            <w:rStyle w:val="Hyperlink"/>
            <w:rFonts w:eastAsia="Calibri" w:cs="Calibri"/>
            <w:iCs/>
            <w:szCs w:val="22"/>
          </w:rPr>
          <w:t>LSCL-F-8</w:t>
        </w:r>
      </w:hyperlink>
      <w:r w:rsidR="000F2501" w:rsidRPr="00C411AF">
        <w:rPr>
          <w:rFonts w:eastAsia="Calibri" w:cs="Calibri"/>
          <w:iCs/>
          <w:szCs w:val="22"/>
        </w:rPr>
        <w:t xml:space="preserve">: A significant portion of the permitted capacity in the quarry area (Cell 6) is currently unavailable due to unexcavated rock. Permitted space is the physical volume available for the placement of solid waste. Benton County approves the land use for the landfill’s footprint. However, DEQ and the franchisee (Valley Landfills Inc.) approve the cell design </w:t>
      </w:r>
      <w:r w:rsidR="0018646D" w:rsidRPr="0018646D">
        <w:rPr>
          <w:rFonts w:eastAsia="Calibri" w:cs="Calibri"/>
          <w:iCs/>
          <w:szCs w:val="22"/>
        </w:rPr>
        <w:t>determining the available physical volume</w:t>
      </w:r>
      <w:r w:rsidR="000F2501" w:rsidRPr="00C411AF">
        <w:rPr>
          <w:rFonts w:eastAsia="Calibri" w:cs="Calibri"/>
          <w:iCs/>
          <w:szCs w:val="22"/>
        </w:rPr>
        <w:t xml:space="preserve">. “Airspace” is the resulting volume left within the permitted space for </w:t>
      </w:r>
      <w:r w:rsidR="002F7445">
        <w:rPr>
          <w:rFonts w:eastAsia="Calibri" w:cs="Calibri"/>
          <w:iCs/>
          <w:szCs w:val="22"/>
        </w:rPr>
        <w:t>solid waste disposal</w:t>
      </w:r>
      <w:r w:rsidR="000F2501" w:rsidRPr="00C411AF">
        <w:rPr>
          <w:rFonts w:eastAsia="Calibri" w:cs="Calibri"/>
          <w:iCs/>
          <w:szCs w:val="22"/>
        </w:rPr>
        <w:t>.</w:t>
      </w:r>
    </w:p>
    <w:p w14:paraId="55954934" w14:textId="1228F249" w:rsidR="000F2501" w:rsidRDefault="00000000" w:rsidP="00D942F1">
      <w:pPr>
        <w:contextualSpacing/>
        <w:rPr>
          <w:rFonts w:eastAsia="Calibri" w:cs="Times New Roman"/>
          <w:iCs/>
          <w:szCs w:val="22"/>
        </w:rPr>
      </w:pPr>
      <w:hyperlink w:anchor="_West_and_East" w:history="1">
        <w:r w:rsidR="000F2501" w:rsidRPr="00C411AF">
          <w:rPr>
            <w:rFonts w:eastAsia="Calibri" w:cs="Times New Roman"/>
            <w:iCs/>
            <w:color w:val="0563C1"/>
            <w:szCs w:val="22"/>
            <w:u w:val="single"/>
          </w:rPr>
          <w:t>LSCL-F-9</w:t>
        </w:r>
      </w:hyperlink>
      <w:r w:rsidR="000F2501" w:rsidRPr="00C411AF">
        <w:rPr>
          <w:rFonts w:eastAsia="Calibri" w:cs="Times New Roman"/>
          <w:iCs/>
          <w:szCs w:val="22"/>
        </w:rPr>
        <w:t>: Landfill total capacity increased by approximately 9,000,000 cubic yards in 2003 with the addition of the West and East triangle areas.  The addition of Cell 6 (</w:t>
      </w:r>
      <w:r w:rsidR="000F2501" w:rsidRPr="00C411AF">
        <w:rPr>
          <w:rFonts w:eastAsia="Calibri" w:cs="Times New Roman"/>
          <w:szCs w:val="22"/>
        </w:rPr>
        <w:t>in TBD</w:t>
      </w:r>
      <w:r w:rsidR="000F2501" w:rsidRPr="00C411AF">
        <w:rPr>
          <w:rFonts w:eastAsia="Calibri" w:cs="Times New Roman"/>
          <w:iCs/>
          <w:szCs w:val="22"/>
        </w:rPr>
        <w:t xml:space="preserve">) added approximately 13,400,000 cubic yards, for a total of approximately 35,500,000 cubic yards. The formal approval of Cell 6 as a disposal area has </w:t>
      </w:r>
      <w:r w:rsidR="002F7445">
        <w:rPr>
          <w:rFonts w:eastAsia="Calibri" w:cs="Times New Roman"/>
          <w:iCs/>
          <w:szCs w:val="22"/>
        </w:rPr>
        <w:t>yet to be</w:t>
      </w:r>
      <w:r w:rsidR="000F2501" w:rsidRPr="00C411AF">
        <w:rPr>
          <w:rFonts w:eastAsia="Calibri" w:cs="Times New Roman"/>
          <w:iCs/>
          <w:szCs w:val="22"/>
        </w:rPr>
        <w:t xml:space="preserve"> identified or confirmed.  </w:t>
      </w:r>
      <w:r w:rsidR="0073427B">
        <w:rPr>
          <w:rFonts w:eastAsia="Calibri" w:cs="Times New Roman"/>
          <w:iCs/>
          <w:szCs w:val="22"/>
        </w:rPr>
        <w:t>(</w:t>
      </w:r>
      <w:r w:rsidR="00D942F1">
        <w:rPr>
          <w:rFonts w:eastAsia="Calibri" w:cs="Times New Roman"/>
          <w:iCs/>
          <w:szCs w:val="22"/>
        </w:rPr>
        <w:t>Pending</w:t>
      </w:r>
      <w:r w:rsidR="0073427B">
        <w:rPr>
          <w:rFonts w:eastAsia="Calibri" w:cs="Times New Roman"/>
          <w:iCs/>
          <w:szCs w:val="22"/>
        </w:rPr>
        <w:t xml:space="preserve"> </w:t>
      </w:r>
      <w:r w:rsidR="00D942F1">
        <w:rPr>
          <w:rFonts w:eastAsia="Calibri" w:cs="Times New Roman"/>
          <w:iCs/>
          <w:szCs w:val="22"/>
        </w:rPr>
        <w:t>further review.)</w:t>
      </w:r>
    </w:p>
    <w:p w14:paraId="348E428A" w14:textId="77777777" w:rsidR="00D942F1" w:rsidRPr="00C411AF" w:rsidRDefault="00D942F1" w:rsidP="00D942F1">
      <w:pPr>
        <w:contextualSpacing/>
        <w:rPr>
          <w:rFonts w:eastAsia="Calibri" w:cs="Calibri"/>
          <w:iCs/>
          <w:szCs w:val="22"/>
        </w:rPr>
      </w:pPr>
    </w:p>
    <w:p w14:paraId="5B263FC2" w14:textId="3C0826D3" w:rsidR="000F2501" w:rsidRPr="00C411AF" w:rsidRDefault="00000000" w:rsidP="000F2501">
      <w:pPr>
        <w:contextualSpacing/>
        <w:rPr>
          <w:rFonts w:eastAsia="Calibri" w:cs="Times New Roman"/>
          <w:szCs w:val="22"/>
        </w:rPr>
      </w:pPr>
      <w:hyperlink w:anchor="_Permitted_Disposal_Capacity" w:history="1">
        <w:r w:rsidR="000F2501" w:rsidRPr="00C411AF">
          <w:rPr>
            <w:rFonts w:eastAsia="Calibri" w:cs="Times New Roman"/>
            <w:color w:val="0563C1"/>
            <w:szCs w:val="22"/>
            <w:u w:val="single"/>
          </w:rPr>
          <w:t>LSCL-F-10</w:t>
        </w:r>
      </w:hyperlink>
      <w:r w:rsidR="000F2501" w:rsidRPr="00C411AF">
        <w:rPr>
          <w:rFonts w:eastAsia="Calibri" w:cs="Times New Roman"/>
          <w:szCs w:val="22"/>
        </w:rPr>
        <w:t xml:space="preserve">: Reported </w:t>
      </w:r>
      <w:r w:rsidR="002F7445">
        <w:rPr>
          <w:rFonts w:eastAsia="Calibri" w:cs="Times New Roman"/>
          <w:szCs w:val="22"/>
        </w:rPr>
        <w:t>remaining</w:t>
      </w:r>
      <w:r w:rsidR="000F2501" w:rsidRPr="00C411AF">
        <w:rPr>
          <w:rFonts w:eastAsia="Calibri" w:cs="Times New Roman"/>
          <w:szCs w:val="22"/>
        </w:rPr>
        <w:t xml:space="preserve"> airspace increased by over 6,000,000 Cubic Yards between 2003 and 2004. Since 2004, reported remaining airspace has decreased gradually, while total permitted airspace has remain</w:t>
      </w:r>
      <w:r w:rsidR="00144356">
        <w:rPr>
          <w:rFonts w:eastAsia="Calibri" w:cs="Times New Roman"/>
          <w:szCs w:val="22"/>
        </w:rPr>
        <w:t>ed</w:t>
      </w:r>
      <w:r w:rsidR="000F2501" w:rsidRPr="00C411AF">
        <w:rPr>
          <w:rFonts w:eastAsia="Calibri" w:cs="Times New Roman"/>
          <w:szCs w:val="22"/>
        </w:rPr>
        <w:t xml:space="preserve"> somewhat constant. As of </w:t>
      </w:r>
      <w:r w:rsidR="00144356">
        <w:rPr>
          <w:rFonts w:eastAsia="Calibri" w:cs="Times New Roman"/>
          <w:szCs w:val="22"/>
        </w:rPr>
        <w:t xml:space="preserve">the </w:t>
      </w:r>
      <w:r w:rsidR="000F2501" w:rsidRPr="00C411AF">
        <w:rPr>
          <w:rFonts w:eastAsia="Calibri" w:cs="Times New Roman"/>
          <w:szCs w:val="22"/>
        </w:rPr>
        <w:t xml:space="preserve">end </w:t>
      </w:r>
      <w:r w:rsidR="00AC4714">
        <w:rPr>
          <w:rFonts w:eastAsia="Calibri" w:cs="Times New Roman"/>
          <w:szCs w:val="22"/>
        </w:rPr>
        <w:t xml:space="preserve">of </w:t>
      </w:r>
      <w:r w:rsidR="000F2501" w:rsidRPr="00C411AF">
        <w:rPr>
          <w:rFonts w:eastAsia="Calibri" w:cs="Times New Roman"/>
          <w:szCs w:val="22"/>
        </w:rPr>
        <w:t>2021</w:t>
      </w:r>
      <w:r w:rsidR="0018646D">
        <w:rPr>
          <w:rFonts w:eastAsia="Calibri" w:cs="Times New Roman"/>
          <w:szCs w:val="22"/>
        </w:rPr>
        <w:t>,</w:t>
      </w:r>
      <w:r w:rsidR="000F2501" w:rsidRPr="00C411AF">
        <w:rPr>
          <w:rFonts w:eastAsia="Calibri" w:cs="Times New Roman"/>
          <w:szCs w:val="22"/>
        </w:rPr>
        <w:t xml:space="preserve"> approximately 44% of </w:t>
      </w:r>
      <w:r w:rsidR="00144356">
        <w:rPr>
          <w:rFonts w:eastAsia="Calibri" w:cs="Times New Roman"/>
          <w:szCs w:val="22"/>
        </w:rPr>
        <w:t>licensed</w:t>
      </w:r>
      <w:r w:rsidR="000F2501" w:rsidRPr="00C411AF">
        <w:rPr>
          <w:rFonts w:eastAsia="Calibri" w:cs="Times New Roman"/>
          <w:szCs w:val="22"/>
        </w:rPr>
        <w:t xml:space="preserve"> capacity remained unused.</w:t>
      </w:r>
    </w:p>
    <w:p w14:paraId="6568D695" w14:textId="77777777" w:rsidR="000F2501" w:rsidRPr="00C411AF" w:rsidRDefault="000F2501" w:rsidP="000F2501">
      <w:pPr>
        <w:spacing w:after="240" w:line="240" w:lineRule="auto"/>
        <w:rPr>
          <w:rFonts w:eastAsia="Calibri" w:cs="Times New Roman"/>
          <w:iCs/>
          <w:szCs w:val="22"/>
        </w:rPr>
      </w:pPr>
    </w:p>
    <w:p w14:paraId="01FCFB8F" w14:textId="77777777" w:rsidR="000F2501" w:rsidRPr="00C411AF" w:rsidRDefault="000F2501" w:rsidP="000F2501">
      <w:pPr>
        <w:spacing w:after="240" w:line="240" w:lineRule="auto"/>
        <w:rPr>
          <w:rFonts w:eastAsia="Calibri" w:cs="Arial"/>
          <w:b/>
          <w:szCs w:val="22"/>
          <w:u w:val="single"/>
        </w:rPr>
      </w:pPr>
      <w:r w:rsidRPr="00C411AF">
        <w:rPr>
          <w:rFonts w:eastAsia="Calibri" w:cs="Arial"/>
          <w:b/>
          <w:szCs w:val="22"/>
          <w:u w:val="single"/>
        </w:rPr>
        <w:t>Landfill Size:  Intake Tonnage</w:t>
      </w:r>
    </w:p>
    <w:p w14:paraId="614B3FDD" w14:textId="77777777" w:rsidR="000F2501" w:rsidRPr="00C411AF" w:rsidRDefault="00000000" w:rsidP="000F2501">
      <w:pPr>
        <w:spacing w:after="240" w:line="240" w:lineRule="auto"/>
        <w:rPr>
          <w:rFonts w:eastAsia="Calibri" w:cs="Times New Roman"/>
          <w:iCs/>
          <w:szCs w:val="22"/>
        </w:rPr>
      </w:pPr>
      <w:hyperlink w:anchor="LSCL_F_24" w:history="1">
        <w:r w:rsidR="000F2501" w:rsidRPr="00C411AF">
          <w:rPr>
            <w:rFonts w:eastAsia="Calibri" w:cs="Times New Roman"/>
            <w:iCs/>
            <w:color w:val="0563C1"/>
            <w:szCs w:val="22"/>
            <w:u w:val="single"/>
          </w:rPr>
          <w:t>LSCL-F-11</w:t>
        </w:r>
      </w:hyperlink>
      <w:r w:rsidR="000F2501" w:rsidRPr="00C411AF">
        <w:rPr>
          <w:rFonts w:eastAsia="Calibri" w:cs="Times New Roman"/>
          <w:iCs/>
          <w:szCs w:val="22"/>
        </w:rPr>
        <w:t>: The amount of waste placed into the landfill has grown dramatically over the past 40 years. In 1983, 375 tons per day were placed into the landfill (117,000 tons per year). By 1993, the tonnage volume increased to 310,000 tons per year. In 2003 550,000 tons were placed into the landfill. By 2013, the waste tonnage was 479,000, and in 2021, 1,046,000 tons were emplaced.</w:t>
      </w:r>
    </w:p>
    <w:p w14:paraId="1EDDF3DB" w14:textId="77777777" w:rsidR="000F2501" w:rsidRPr="00C411AF" w:rsidRDefault="00000000" w:rsidP="000F2501">
      <w:pPr>
        <w:spacing w:after="240" w:line="240" w:lineRule="auto"/>
        <w:rPr>
          <w:rFonts w:eastAsia="Calibri" w:cs="Times New Roman"/>
          <w:iCs/>
          <w:szCs w:val="22"/>
        </w:rPr>
      </w:pPr>
      <w:hyperlink w:anchor="_Intake_Volume" w:history="1">
        <w:r w:rsidR="000F2501" w:rsidRPr="001544BE">
          <w:rPr>
            <w:rStyle w:val="Hyperlink"/>
            <w:rFonts w:eastAsia="Calibri" w:cs="Times New Roman"/>
            <w:iCs/>
            <w:szCs w:val="22"/>
          </w:rPr>
          <w:t>LSCL-F-12</w:t>
        </w:r>
      </w:hyperlink>
      <w:r w:rsidR="000F2501" w:rsidRPr="00C411AF">
        <w:rPr>
          <w:rFonts w:eastAsia="Calibri" w:cs="Times New Roman"/>
          <w:iCs/>
          <w:szCs w:val="22"/>
        </w:rPr>
        <w:t>: The official 2022 Coffin Butte annual intake tonnage is not available at the time of this report (February 2023).  The size of the Host Fee payment to Benton County in January 2023 indicates a 2022 intake volume of 1,066,436 Tons. The actual tonnage figure should be updated after the receipt of the 2022 Coffin Butte Landfill Annual Report.</w:t>
      </w:r>
    </w:p>
    <w:p w14:paraId="43E0D89F" w14:textId="53D72798" w:rsidR="000F2501" w:rsidRPr="00C411AF" w:rsidRDefault="00000000" w:rsidP="000F2501">
      <w:pPr>
        <w:spacing w:after="240" w:line="240" w:lineRule="auto"/>
        <w:contextualSpacing/>
        <w:rPr>
          <w:rFonts w:eastAsia="Calibri" w:cs="Times New Roman"/>
          <w:szCs w:val="22"/>
        </w:rPr>
      </w:pPr>
      <w:hyperlink w:anchor="_Intake_Volume" w:history="1">
        <w:r w:rsidR="000F2501" w:rsidRPr="00C411AF">
          <w:rPr>
            <w:rFonts w:eastAsia="Calibri" w:cs="Times New Roman"/>
            <w:color w:val="0563C1"/>
            <w:szCs w:val="22"/>
            <w:u w:val="single"/>
          </w:rPr>
          <w:t>LSCL-F-13</w:t>
        </w:r>
      </w:hyperlink>
      <w:r w:rsidR="000F2501" w:rsidRPr="00C411AF">
        <w:rPr>
          <w:rFonts w:eastAsia="Calibri" w:cs="Times New Roman"/>
          <w:szCs w:val="22"/>
        </w:rPr>
        <w:t>: The 2000 Landfill Franchise Agreement stipulated that the County was to perform a “Baseline” study as a reference for measuring potential future adverse effects (completed in 2001) and defined a ramping intake tonnage threshold to be applied during the term of the agreement (CY2001-2019).  Intake volumes in excess of this threshold granted the County clear right to pursue specific remedies: a) the County, at its expense, could perform an updated Baseline assessment, and b) if the County determined that the new assessment indicated an adverse impact on “the Baseline,” the agreement stipulated that “the parties shall immediately proceed in good faith to negotiate an increase in the Franchise Fee and/or Host Surcharge…”.</w:t>
      </w:r>
    </w:p>
    <w:p w14:paraId="23E33137" w14:textId="77777777" w:rsidR="000F2501" w:rsidRPr="00C411AF" w:rsidRDefault="000F2501" w:rsidP="000F2501">
      <w:pPr>
        <w:spacing w:after="240" w:line="240" w:lineRule="auto"/>
        <w:contextualSpacing/>
        <w:rPr>
          <w:rFonts w:eastAsia="Calibri" w:cs="Times New Roman"/>
          <w:iCs/>
          <w:szCs w:val="22"/>
        </w:rPr>
      </w:pPr>
    </w:p>
    <w:p w14:paraId="5DE3E292" w14:textId="0016DF8B" w:rsidR="000F2501" w:rsidRPr="00C411AF" w:rsidRDefault="00000000" w:rsidP="000F2501">
      <w:pPr>
        <w:spacing w:after="240" w:line="240" w:lineRule="auto"/>
        <w:contextualSpacing/>
        <w:rPr>
          <w:rFonts w:eastAsia="Calibri" w:cs="Calibri"/>
          <w:szCs w:val="22"/>
        </w:rPr>
      </w:pPr>
      <w:hyperlink w:anchor="_Intake_Volume" w:history="1">
        <w:r w:rsidR="000F2501" w:rsidRPr="001544BE">
          <w:rPr>
            <w:rStyle w:val="Hyperlink"/>
            <w:rFonts w:eastAsia="Calibri" w:cs="Times New Roman"/>
            <w:iCs/>
            <w:szCs w:val="22"/>
          </w:rPr>
          <w:t>LSCL-F-14</w:t>
        </w:r>
      </w:hyperlink>
      <w:r w:rsidR="000F2501" w:rsidRPr="00C411AF">
        <w:rPr>
          <w:rFonts w:eastAsia="Calibri" w:cs="Times New Roman"/>
          <w:iCs/>
          <w:szCs w:val="22"/>
        </w:rPr>
        <w:t>: The 2000 intake tonnage threshold was exceeded in calendar years 2017, 2018</w:t>
      </w:r>
      <w:r w:rsidR="00144356">
        <w:rPr>
          <w:rFonts w:eastAsia="Calibri" w:cs="Times New Roman"/>
          <w:iCs/>
          <w:szCs w:val="22"/>
        </w:rPr>
        <w:t>,</w:t>
      </w:r>
      <w:r w:rsidR="000F2501" w:rsidRPr="00C411AF">
        <w:rPr>
          <w:rFonts w:eastAsia="Calibri" w:cs="Times New Roman"/>
          <w:iCs/>
          <w:szCs w:val="22"/>
        </w:rPr>
        <w:t xml:space="preserve"> and </w:t>
      </w:r>
      <w:r w:rsidR="000F2501" w:rsidRPr="00C411AF">
        <w:rPr>
          <w:rFonts w:eastAsia="Calibri" w:cs="Calibri"/>
          <w:iCs/>
          <w:szCs w:val="22"/>
        </w:rPr>
        <w:t>2019.</w:t>
      </w:r>
    </w:p>
    <w:p w14:paraId="0A77E1D8" w14:textId="77777777" w:rsidR="000F2501" w:rsidRPr="00C411AF" w:rsidRDefault="000F2501" w:rsidP="000F2501">
      <w:pPr>
        <w:spacing w:after="240" w:line="240" w:lineRule="auto"/>
        <w:ind w:left="720"/>
        <w:contextualSpacing/>
        <w:rPr>
          <w:rFonts w:eastAsia="Calibri" w:cs="Calibri"/>
          <w:iCs/>
          <w:szCs w:val="22"/>
        </w:rPr>
      </w:pPr>
    </w:p>
    <w:p w14:paraId="341FD70A" w14:textId="77777777" w:rsidR="000F2501" w:rsidRPr="00C411AF" w:rsidRDefault="00000000" w:rsidP="000F2501">
      <w:pPr>
        <w:spacing w:after="240" w:line="240" w:lineRule="auto"/>
        <w:contextualSpacing/>
        <w:rPr>
          <w:rFonts w:eastAsia="Calibri" w:cs="Times New Roman"/>
          <w:iCs/>
          <w:szCs w:val="22"/>
        </w:rPr>
      </w:pPr>
      <w:hyperlink w:anchor="_Intake_Volume" w:history="1">
        <w:r w:rsidR="000F2501" w:rsidRPr="00C411AF">
          <w:rPr>
            <w:rFonts w:eastAsia="Calibri" w:cs="Calibri"/>
            <w:iCs/>
            <w:color w:val="0563C1"/>
            <w:szCs w:val="22"/>
            <w:u w:val="single"/>
          </w:rPr>
          <w:t>LSCL-F-15</w:t>
        </w:r>
      </w:hyperlink>
      <w:r w:rsidR="000F2501" w:rsidRPr="00C411AF">
        <w:rPr>
          <w:rFonts w:eastAsia="Calibri" w:cs="Calibri"/>
          <w:iCs/>
          <w:szCs w:val="22"/>
        </w:rPr>
        <w:t>: Washington County waste tonnage accepted at the landfill increased by over 400% between 2016-2017, with the increased tonnage continuing through 2019. Riverbend Landfill was a regional landfill that accepted waste from many counties, including Washington County. Tonnage from Riverbend was diverted to Coffin Butte in an effort to extend Riverbend’s site life.</w:t>
      </w:r>
    </w:p>
    <w:p w14:paraId="44895D9E" w14:textId="77777777" w:rsidR="000F2501" w:rsidRPr="00C411AF" w:rsidRDefault="000F2501" w:rsidP="000F2501">
      <w:pPr>
        <w:spacing w:after="240" w:line="240" w:lineRule="auto"/>
        <w:ind w:left="360"/>
        <w:contextualSpacing/>
        <w:rPr>
          <w:rFonts w:eastAsia="Calibri" w:cs="Times New Roman"/>
          <w:iCs/>
          <w:szCs w:val="22"/>
        </w:rPr>
      </w:pPr>
    </w:p>
    <w:p w14:paraId="64D95F12" w14:textId="77777777" w:rsidR="000F2501" w:rsidRPr="00C411AF" w:rsidRDefault="00000000" w:rsidP="000F2501">
      <w:pPr>
        <w:spacing w:after="240" w:line="240" w:lineRule="auto"/>
        <w:contextualSpacing/>
        <w:rPr>
          <w:rFonts w:eastAsia="Calibri" w:cs="Times New Roman"/>
          <w:iCs/>
          <w:szCs w:val="22"/>
        </w:rPr>
      </w:pPr>
      <w:hyperlink w:anchor="_Intake_Volume" w:history="1">
        <w:r w:rsidR="000F2501" w:rsidRPr="001544BE">
          <w:rPr>
            <w:rStyle w:val="Hyperlink"/>
            <w:rFonts w:eastAsia="Calibri" w:cs="Times New Roman"/>
            <w:iCs/>
            <w:szCs w:val="22"/>
          </w:rPr>
          <w:t>LSCL-F-16</w:t>
        </w:r>
      </w:hyperlink>
      <w:r w:rsidR="000F2501" w:rsidRPr="00C411AF">
        <w:rPr>
          <w:rFonts w:eastAsia="Calibri" w:cs="Times New Roman"/>
          <w:iCs/>
          <w:szCs w:val="22"/>
        </w:rPr>
        <w:t>: Benton County did not utilize either of the contractual remedies available to it as a result of the intake tonnage exceeding the threshold in 2017-2019.  No updated Baseline study was performed, and no renegotiation of the landfill fee structure was undertaken.</w:t>
      </w:r>
    </w:p>
    <w:p w14:paraId="02212C3B" w14:textId="77777777" w:rsidR="000F2501" w:rsidRPr="00C411AF" w:rsidRDefault="000F2501" w:rsidP="000F2501">
      <w:pPr>
        <w:spacing w:after="240" w:line="240" w:lineRule="auto"/>
        <w:contextualSpacing/>
        <w:rPr>
          <w:rFonts w:eastAsia="Calibri" w:cs="Times New Roman"/>
          <w:iCs/>
          <w:szCs w:val="22"/>
        </w:rPr>
      </w:pPr>
    </w:p>
    <w:p w14:paraId="4DAA7C1F" w14:textId="49763A2B" w:rsidR="000F2501" w:rsidRPr="00C411AF" w:rsidRDefault="00000000" w:rsidP="000F2501">
      <w:pPr>
        <w:spacing w:after="240" w:line="240" w:lineRule="auto"/>
        <w:contextualSpacing/>
        <w:rPr>
          <w:rFonts w:eastAsia="Calibri" w:cs="Times New Roman"/>
          <w:iCs/>
          <w:szCs w:val="22"/>
        </w:rPr>
      </w:pPr>
      <w:hyperlink w:anchor="_Intake_Volume" w:history="1">
        <w:r w:rsidR="000F2501" w:rsidRPr="00C411AF">
          <w:rPr>
            <w:rFonts w:eastAsia="Calibri" w:cs="Times New Roman"/>
            <w:iCs/>
            <w:color w:val="0563C1"/>
            <w:szCs w:val="22"/>
            <w:u w:val="single"/>
          </w:rPr>
          <w:t>LSCL-F-17</w:t>
        </w:r>
      </w:hyperlink>
      <w:r w:rsidR="000F2501" w:rsidRPr="00C411AF">
        <w:rPr>
          <w:rFonts w:eastAsia="Calibri" w:cs="Times New Roman"/>
          <w:iCs/>
          <w:szCs w:val="22"/>
        </w:rPr>
        <w:t xml:space="preserve">: </w:t>
      </w:r>
      <w:r w:rsidR="000F2501" w:rsidRPr="00C411AF">
        <w:rPr>
          <w:rFonts w:eastAsia="Calibri" w:cs="Times New Roman"/>
          <w:szCs w:val="22"/>
        </w:rPr>
        <w:t>Benton County received approximately $3.1M of incremental revenue from the increased intake volumes over the 2017-2019 period</w:t>
      </w:r>
      <w:r w:rsidR="000F2501" w:rsidRPr="00C411AF">
        <w:rPr>
          <w:rFonts w:eastAsia="Calibri" w:cs="Times New Roman"/>
          <w:iCs/>
          <w:szCs w:val="22"/>
        </w:rPr>
        <w:t xml:space="preserve">. Of this, approximately $1.08M </w:t>
      </w:r>
      <w:r w:rsidR="00FF0A39">
        <w:rPr>
          <w:rFonts w:eastAsia="Calibri" w:cs="Times New Roman"/>
          <w:iCs/>
          <w:szCs w:val="22"/>
        </w:rPr>
        <w:t>resulted from intake volume exceeding</w:t>
      </w:r>
      <w:r w:rsidR="000F2501" w:rsidRPr="00C411AF">
        <w:rPr>
          <w:rFonts w:eastAsia="Calibri" w:cs="Times New Roman"/>
          <w:iCs/>
          <w:szCs w:val="22"/>
        </w:rPr>
        <w:t xml:space="preserve"> the annual limits over the three-year period.  This equates to roughly $11.50 total per Benton County resident for the three-year period.</w:t>
      </w:r>
    </w:p>
    <w:p w14:paraId="20687CF2" w14:textId="77777777" w:rsidR="000F2501" w:rsidRPr="00C411AF" w:rsidRDefault="000F2501" w:rsidP="000F2501">
      <w:pPr>
        <w:spacing w:after="240" w:line="240" w:lineRule="auto"/>
        <w:ind w:left="720"/>
        <w:contextualSpacing/>
        <w:rPr>
          <w:rFonts w:eastAsia="Calibri" w:cs="Times New Roman"/>
          <w:iCs/>
          <w:szCs w:val="22"/>
        </w:rPr>
      </w:pPr>
    </w:p>
    <w:bookmarkStart w:id="2" w:name="_Hlk127863882"/>
    <w:p w14:paraId="638E0590" w14:textId="4F4BEC49" w:rsidR="000F2501" w:rsidRPr="00C411AF" w:rsidRDefault="000F2501" w:rsidP="000F2501">
      <w:pPr>
        <w:spacing w:after="240" w:line="240" w:lineRule="auto"/>
        <w:contextualSpacing/>
        <w:rPr>
          <w:rFonts w:eastAsia="Calibri" w:cs="Calibri"/>
          <w:color w:val="C00000"/>
          <w:szCs w:val="22"/>
        </w:rPr>
      </w:pPr>
      <w:r w:rsidRPr="00C411AF">
        <w:rPr>
          <w:szCs w:val="22"/>
        </w:rPr>
        <w:fldChar w:fldCharType="begin"/>
      </w:r>
      <w:r w:rsidRPr="00C411AF">
        <w:rPr>
          <w:szCs w:val="22"/>
        </w:rPr>
        <w:instrText>HYPERLINK "file:///C:\\Users\\roughgi\\AppData\\Local\\Microsoft\\Windows\\INetCache\\Content.Outlook\\C535F33R\\Subcommittee%20A1%20Report%20v8_pgn_FR_edits_6Feb2023.docx" \l "LSCL_F_10"</w:instrText>
      </w:r>
      <w:r w:rsidRPr="00C411AF">
        <w:rPr>
          <w:szCs w:val="22"/>
        </w:rPr>
      </w:r>
      <w:r w:rsidRPr="00C411AF">
        <w:rPr>
          <w:szCs w:val="22"/>
        </w:rPr>
        <w:fldChar w:fldCharType="separate"/>
      </w:r>
      <w:r w:rsidRPr="00C411AF">
        <w:rPr>
          <w:rFonts w:eastAsia="Calibri" w:cs="Calibri"/>
          <w:color w:val="0563C1"/>
          <w:szCs w:val="22"/>
          <w:u w:val="single"/>
        </w:rPr>
        <w:t>LSCL-F-18</w:t>
      </w:r>
      <w:r w:rsidRPr="00C411AF">
        <w:rPr>
          <w:rFonts w:eastAsia="Calibri" w:cs="Calibri"/>
          <w:color w:val="0563C1"/>
          <w:szCs w:val="22"/>
          <w:u w:val="single"/>
        </w:rPr>
        <w:fldChar w:fldCharType="end"/>
      </w:r>
      <w:r w:rsidRPr="00C411AF">
        <w:rPr>
          <w:rFonts w:eastAsia="Calibri" w:cs="Calibri"/>
          <w:szCs w:val="22"/>
        </w:rPr>
        <w:t xml:space="preserve">: </w:t>
      </w:r>
      <w:bookmarkEnd w:id="2"/>
      <w:r w:rsidRPr="00C411AF">
        <w:rPr>
          <w:rFonts w:eastAsia="Calibri" w:cs="Calibri"/>
          <w:szCs w:val="22"/>
        </w:rPr>
        <w:t xml:space="preserve">In an official 2018 presentation to </w:t>
      </w:r>
      <w:r w:rsidR="00FF0A39">
        <w:rPr>
          <w:rFonts w:eastAsia="Calibri" w:cs="Calibri"/>
          <w:szCs w:val="22"/>
        </w:rPr>
        <w:t xml:space="preserve">the </w:t>
      </w:r>
      <w:r w:rsidRPr="00C411AF">
        <w:rPr>
          <w:rFonts w:eastAsia="Calibri" w:cs="Calibri"/>
          <w:szCs w:val="22"/>
        </w:rPr>
        <w:t xml:space="preserve">Benton County Board of Commissioners, Benton County represented the 2000 Franchise Agreement intake threshold as “Annual Maximums Specified in Franchise Agreement.” However, the 2000 Franchise Agreement does not describe the tonnage threshold as a “limit” or “maximum” and does not limit the number of tons that can be accepted. </w:t>
      </w:r>
    </w:p>
    <w:p w14:paraId="5A784140" w14:textId="77777777" w:rsidR="000F2501" w:rsidRPr="00C411AF" w:rsidRDefault="000F2501" w:rsidP="000F2501">
      <w:pPr>
        <w:spacing w:after="240" w:line="240" w:lineRule="auto"/>
        <w:contextualSpacing/>
        <w:rPr>
          <w:rFonts w:eastAsia="Calibri" w:cs="Times New Roman"/>
          <w:iCs/>
          <w:szCs w:val="22"/>
        </w:rPr>
      </w:pPr>
    </w:p>
    <w:p w14:paraId="526C0938" w14:textId="566914F3" w:rsidR="000F2501" w:rsidRPr="00C411AF" w:rsidRDefault="00000000" w:rsidP="000F2501">
      <w:pPr>
        <w:spacing w:after="240" w:line="240" w:lineRule="auto"/>
        <w:contextualSpacing/>
        <w:rPr>
          <w:rFonts w:eastAsia="Calibri" w:cs="Times New Roman"/>
          <w:szCs w:val="22"/>
        </w:rPr>
      </w:pPr>
      <w:hyperlink w:anchor="_Intake_Volume" w:history="1">
        <w:r w:rsidR="000F2501" w:rsidRPr="00C411AF">
          <w:rPr>
            <w:rFonts w:eastAsia="Calibri" w:cs="Times New Roman"/>
            <w:color w:val="0563C1"/>
            <w:szCs w:val="22"/>
            <w:u w:val="single"/>
          </w:rPr>
          <w:t>LSCL-F-19</w:t>
        </w:r>
      </w:hyperlink>
      <w:r w:rsidR="000F2501" w:rsidRPr="00C411AF">
        <w:rPr>
          <w:rFonts w:eastAsia="Calibri" w:cs="Times New Roman"/>
          <w:szCs w:val="22"/>
        </w:rPr>
        <w:t>: Both the 2000 Landfill Franchise Agreement and the 2020 Landfill Franchise Agreement include a section stating</w:t>
      </w:r>
      <w:r w:rsidR="00FF0A39">
        <w:rPr>
          <w:rFonts w:eastAsia="Calibri" w:cs="Times New Roman"/>
          <w:szCs w:val="22"/>
        </w:rPr>
        <w:t>, “</w:t>
      </w:r>
      <w:r w:rsidR="000F2501" w:rsidRPr="00C411AF">
        <w:rPr>
          <w:rFonts w:eastAsia="Calibri" w:cs="Times New Roman"/>
          <w:szCs w:val="22"/>
        </w:rPr>
        <w:t>The parties acknowledge that there may be adverse effects to the County’s infrastructure and environmental conditions due to increased annual volumes of Solid Waste accepted at the Landfill.”  In both agreements</w:t>
      </w:r>
      <w:r w:rsidR="00FF0A39">
        <w:rPr>
          <w:rFonts w:eastAsia="Calibri" w:cs="Times New Roman"/>
          <w:szCs w:val="22"/>
        </w:rPr>
        <w:t>,</w:t>
      </w:r>
      <w:r w:rsidR="000F2501" w:rsidRPr="00C411AF">
        <w:rPr>
          <w:rFonts w:eastAsia="Calibri" w:cs="Times New Roman"/>
          <w:szCs w:val="22"/>
        </w:rPr>
        <w:t xml:space="preserve"> this section of the agreement then stipulates terms regarding intake volumes.</w:t>
      </w:r>
    </w:p>
    <w:p w14:paraId="15AA8270" w14:textId="77777777" w:rsidR="000F2501" w:rsidRPr="00C411AF" w:rsidRDefault="000F2501" w:rsidP="000F2501">
      <w:pPr>
        <w:spacing w:after="240" w:line="240" w:lineRule="auto"/>
        <w:contextualSpacing/>
        <w:rPr>
          <w:szCs w:val="22"/>
        </w:rPr>
      </w:pPr>
    </w:p>
    <w:p w14:paraId="495AB50A" w14:textId="77777777" w:rsidR="000F2501" w:rsidRPr="00C411AF" w:rsidRDefault="00000000" w:rsidP="000F2501">
      <w:pPr>
        <w:spacing w:after="240" w:line="240" w:lineRule="auto"/>
        <w:contextualSpacing/>
        <w:rPr>
          <w:rFonts w:eastAsia="Calibri" w:cs="Times New Roman"/>
          <w:szCs w:val="22"/>
        </w:rPr>
      </w:pPr>
      <w:hyperlink w:anchor="_Intake_Volume" w:history="1">
        <w:r w:rsidR="000F2501" w:rsidRPr="00C411AF">
          <w:rPr>
            <w:rFonts w:eastAsia="Calibri" w:cs="Times New Roman"/>
            <w:color w:val="0563C1"/>
            <w:szCs w:val="22"/>
            <w:u w:val="single"/>
          </w:rPr>
          <w:t>LSCL-F-20</w:t>
        </w:r>
      </w:hyperlink>
      <w:r w:rsidR="000F2501" w:rsidRPr="00C411AF">
        <w:rPr>
          <w:rFonts w:eastAsia="Calibri" w:cs="Times New Roman"/>
          <w:szCs w:val="22"/>
        </w:rPr>
        <w:t>: The intake threshold defined in the 2000 Landfill Franchise Agreement and the Tonnage Cap defined in the 2020 Landfill Franchise Agreement were stipulated</w:t>
      </w:r>
      <w:r w:rsidR="000F2501" w:rsidRPr="00C411AF">
        <w:rPr>
          <w:rFonts w:eastAsia="Calibri" w:cs="Calibri"/>
          <w:szCs w:val="22"/>
        </w:rPr>
        <w:t xml:space="preserve"> </w:t>
      </w:r>
      <w:r w:rsidR="000F2501" w:rsidRPr="00C411AF">
        <w:rPr>
          <w:rFonts w:eastAsia="Calibri" w:cs="Times New Roman"/>
          <w:szCs w:val="22"/>
        </w:rPr>
        <w:t>as contractual provisions, with consequences [</w:t>
      </w:r>
      <w:r w:rsidR="000F2501" w:rsidRPr="00C411AF">
        <w:rPr>
          <w:rFonts w:eastAsia="Calibri" w:cs="Times New Roman"/>
          <w:iCs/>
          <w:szCs w:val="22"/>
        </w:rPr>
        <w:t>reference other findings</w:t>
      </w:r>
      <w:r w:rsidR="000F2501" w:rsidRPr="00C411AF">
        <w:rPr>
          <w:rFonts w:eastAsia="Calibri" w:cs="Times New Roman"/>
          <w:szCs w:val="22"/>
        </w:rPr>
        <w:t>] explicitly defined in the 2000 agreement and implicit (violation of contract) consequences in the 2020 agreement.</w:t>
      </w:r>
    </w:p>
    <w:p w14:paraId="37E01CDF" w14:textId="77777777" w:rsidR="000F2501" w:rsidRPr="00C411AF" w:rsidRDefault="000F2501" w:rsidP="000F2501">
      <w:pPr>
        <w:spacing w:after="240" w:line="240" w:lineRule="auto"/>
        <w:ind w:left="720"/>
        <w:contextualSpacing/>
        <w:rPr>
          <w:rFonts w:eastAsia="Calibri" w:cs="Times New Roman"/>
          <w:iCs/>
          <w:szCs w:val="22"/>
        </w:rPr>
      </w:pPr>
    </w:p>
    <w:p w14:paraId="2BC0617E" w14:textId="77777777" w:rsidR="000F2501" w:rsidRPr="00C411AF" w:rsidRDefault="00000000" w:rsidP="000F2501">
      <w:pPr>
        <w:spacing w:after="240" w:line="240" w:lineRule="auto"/>
        <w:contextualSpacing/>
        <w:rPr>
          <w:rFonts w:eastAsia="Calibri" w:cs="Times New Roman"/>
          <w:iCs/>
          <w:szCs w:val="22"/>
        </w:rPr>
      </w:pPr>
      <w:hyperlink w:anchor="_Intake_Volume" w:history="1">
        <w:r w:rsidR="000F2501" w:rsidRPr="001544BE">
          <w:rPr>
            <w:rStyle w:val="Hyperlink"/>
            <w:rFonts w:eastAsia="Calibri" w:cs="Times New Roman"/>
            <w:szCs w:val="22"/>
          </w:rPr>
          <w:t>LSCL-F-21</w:t>
        </w:r>
      </w:hyperlink>
      <w:r w:rsidR="000F2501" w:rsidRPr="00C411AF">
        <w:rPr>
          <w:rFonts w:eastAsia="Calibri" w:cs="Times New Roman"/>
          <w:szCs w:val="22"/>
        </w:rPr>
        <w:t>: The 2020 Landfill Franchise Agreement defined a 2020 Tonnage Cap of 1.1 M Tons/year that the Landfill "shall not exceed." That includes 75,000 tons reserved annually for Benton County. The Tonnage Cap does not apply to fire, flood, natural disaster, or Force Majeure event materials.</w:t>
      </w:r>
    </w:p>
    <w:p w14:paraId="0E68E762" w14:textId="77777777" w:rsidR="000F2501" w:rsidRPr="00C411AF" w:rsidRDefault="000F2501" w:rsidP="000F2501">
      <w:pPr>
        <w:spacing w:after="240" w:line="240" w:lineRule="auto"/>
        <w:contextualSpacing/>
        <w:rPr>
          <w:szCs w:val="22"/>
        </w:rPr>
      </w:pPr>
    </w:p>
    <w:p w14:paraId="69814E73" w14:textId="77777777" w:rsidR="000F2501" w:rsidRPr="00C411AF" w:rsidRDefault="00000000" w:rsidP="000F2501">
      <w:pPr>
        <w:spacing w:after="240" w:line="240" w:lineRule="auto"/>
        <w:contextualSpacing/>
        <w:rPr>
          <w:rFonts w:eastAsia="Calibri" w:cs="Times New Roman"/>
          <w:iCs/>
          <w:szCs w:val="22"/>
        </w:rPr>
      </w:pPr>
      <w:hyperlink w:anchor="LSCL_F_16" w:history="1">
        <w:r w:rsidR="000F2501" w:rsidRPr="00C411AF">
          <w:rPr>
            <w:rFonts w:eastAsia="Calibri" w:cs="Times New Roman"/>
            <w:color w:val="0563C1"/>
            <w:szCs w:val="22"/>
            <w:u w:val="single"/>
          </w:rPr>
          <w:t>LSCL-F-22</w:t>
        </w:r>
      </w:hyperlink>
      <w:r w:rsidR="000F2501" w:rsidRPr="00C411AF">
        <w:rPr>
          <w:rFonts w:eastAsia="Calibri" w:cs="Times New Roman"/>
          <w:szCs w:val="22"/>
        </w:rPr>
        <w:t>: The 2020 Landfill Franchise Agreement also includes a provision that the tonnage cap would be eliminated upon a successful application to “expand the landfill onto the Expansion Parcel.”</w:t>
      </w:r>
    </w:p>
    <w:p w14:paraId="20AB864B" w14:textId="77777777" w:rsidR="000F2501" w:rsidRPr="00C411AF" w:rsidRDefault="000F2501" w:rsidP="000F2501">
      <w:pPr>
        <w:ind w:left="720"/>
        <w:contextualSpacing/>
        <w:rPr>
          <w:rFonts w:eastAsia="Calibri" w:cs="Times New Roman"/>
          <w:iCs/>
          <w:szCs w:val="22"/>
        </w:rPr>
      </w:pPr>
    </w:p>
    <w:p w14:paraId="6F4BB007" w14:textId="18558832" w:rsidR="000F2501" w:rsidRPr="00C411AF" w:rsidRDefault="00000000" w:rsidP="000F2501">
      <w:pPr>
        <w:spacing w:after="240" w:line="240" w:lineRule="auto"/>
        <w:contextualSpacing/>
        <w:rPr>
          <w:rFonts w:eastAsia="Calibri" w:cs="Times New Roman"/>
          <w:szCs w:val="22"/>
        </w:rPr>
      </w:pPr>
      <w:hyperlink w:anchor="_Intake_Volume" w:history="1">
        <w:r w:rsidR="000F2501" w:rsidRPr="003764C6">
          <w:rPr>
            <w:rStyle w:val="Hyperlink"/>
            <w:rFonts w:eastAsia="Calibri" w:cs="Times New Roman"/>
            <w:szCs w:val="22"/>
          </w:rPr>
          <w:t>LSCL-F-23</w:t>
        </w:r>
      </w:hyperlink>
      <w:r w:rsidR="000F2501" w:rsidRPr="00C411AF">
        <w:rPr>
          <w:rFonts w:eastAsia="Calibri" w:cs="Times New Roman"/>
          <w:szCs w:val="22"/>
        </w:rPr>
        <w:t xml:space="preserve">: Some residents near the landfill are concerned that the landfill will accept more waste than the allowed </w:t>
      </w:r>
      <w:r w:rsidR="000F2501" w:rsidRPr="00C411AF">
        <w:rPr>
          <w:rFonts w:eastAsia="Calibri" w:cs="Times New Roman"/>
          <w:iCs/>
          <w:szCs w:val="22"/>
        </w:rPr>
        <w:t>Tonnage Cap</w:t>
      </w:r>
      <w:r w:rsidR="000F2501" w:rsidRPr="00C411AF">
        <w:rPr>
          <w:rFonts w:eastAsia="Calibri" w:cs="Times New Roman"/>
          <w:szCs w:val="22"/>
        </w:rPr>
        <w:t xml:space="preserve"> of 1.1M tons and are unsure if the 2020 Franchise Agreement’s enforcement mechanisms will do enough to prevent agreement violations.</w:t>
      </w:r>
    </w:p>
    <w:p w14:paraId="45ACF301" w14:textId="77777777" w:rsidR="000F2501" w:rsidRPr="00C411AF" w:rsidRDefault="000F2501" w:rsidP="000F2501">
      <w:pPr>
        <w:spacing w:after="240" w:line="240" w:lineRule="auto"/>
        <w:contextualSpacing/>
        <w:rPr>
          <w:rFonts w:eastAsia="Calibri" w:cs="Times New Roman"/>
          <w:iCs/>
          <w:szCs w:val="22"/>
        </w:rPr>
      </w:pPr>
    </w:p>
    <w:p w14:paraId="16F34DF3" w14:textId="72EFF238" w:rsidR="000F2501" w:rsidRPr="00C411AF" w:rsidRDefault="00000000" w:rsidP="000F2501">
      <w:pPr>
        <w:spacing w:after="240" w:line="240" w:lineRule="auto"/>
        <w:rPr>
          <w:rFonts w:eastAsia="Calibri" w:cs="Times New Roman"/>
          <w:szCs w:val="22"/>
        </w:rPr>
      </w:pPr>
      <w:hyperlink w:anchor="_Intake_Volume" w:history="1">
        <w:r w:rsidR="000F2501" w:rsidRPr="00C411AF">
          <w:rPr>
            <w:rFonts w:eastAsia="Calibri" w:cs="Times New Roman"/>
            <w:color w:val="0563C1"/>
            <w:szCs w:val="22"/>
            <w:u w:val="single"/>
          </w:rPr>
          <w:t>LSCL-F-24</w:t>
        </w:r>
      </w:hyperlink>
      <w:r w:rsidR="000F2501" w:rsidRPr="00C411AF">
        <w:rPr>
          <w:rFonts w:eastAsia="Calibri" w:cs="Times New Roman"/>
          <w:szCs w:val="22"/>
        </w:rPr>
        <w:t xml:space="preserve">: The landfill operator generally chooses how much tonnage to accept based on demand and their contracts with various jurisdictions and haulers. Some of the increasing tonnage accepted at the landfill from 1993-2021 </w:t>
      </w:r>
      <w:r w:rsidR="00FF0A39">
        <w:rPr>
          <w:rFonts w:eastAsia="Calibri" w:cs="Times New Roman"/>
          <w:szCs w:val="22"/>
        </w:rPr>
        <w:t>reflects</w:t>
      </w:r>
      <w:r w:rsidR="000F2501" w:rsidRPr="00C411AF">
        <w:rPr>
          <w:rFonts w:eastAsia="Calibri" w:cs="Times New Roman"/>
          <w:szCs w:val="22"/>
        </w:rPr>
        <w:t xml:space="preserve"> the increase in business development.</w:t>
      </w:r>
    </w:p>
    <w:p w14:paraId="0F021BED" w14:textId="77777777" w:rsidR="000F2501" w:rsidRPr="00C411AF" w:rsidRDefault="00000000" w:rsidP="000F2501">
      <w:pPr>
        <w:spacing w:after="240" w:line="240" w:lineRule="auto"/>
        <w:rPr>
          <w:rFonts w:eastAsia="Calibri" w:cs="Times New Roman"/>
          <w:iCs/>
          <w:szCs w:val="22"/>
        </w:rPr>
      </w:pPr>
      <w:hyperlink w:anchor="_Intake_Volume" w:history="1">
        <w:r w:rsidR="000F2501" w:rsidRPr="00C411AF">
          <w:rPr>
            <w:rFonts w:eastAsia="Calibri" w:cs="Times New Roman"/>
            <w:color w:val="0563C1"/>
            <w:szCs w:val="22"/>
            <w:u w:val="single"/>
          </w:rPr>
          <w:t>LSCL-F-25</w:t>
        </w:r>
      </w:hyperlink>
      <w:r w:rsidR="000F2501" w:rsidRPr="00C411AF">
        <w:rPr>
          <w:rFonts w:eastAsia="Calibri" w:cs="Times New Roman"/>
          <w:szCs w:val="22"/>
        </w:rPr>
        <w:t>: The slow downward trend in intake volume in the 2006-2010 period is explained by the franchisee as resulting from the economic downturn of 2008.</w:t>
      </w:r>
    </w:p>
    <w:p w14:paraId="5EF612DC" w14:textId="372AC358" w:rsidR="000F2501" w:rsidRPr="00C411AF" w:rsidRDefault="00000000" w:rsidP="000F2501">
      <w:pPr>
        <w:spacing w:after="240" w:line="240" w:lineRule="auto"/>
        <w:rPr>
          <w:rFonts w:eastAsia="Calibri" w:cs="Calibri"/>
          <w:szCs w:val="22"/>
        </w:rPr>
      </w:pPr>
      <w:hyperlink w:anchor="_Intake_Volume" w:history="1">
        <w:r w:rsidR="000F2501" w:rsidRPr="00C411AF">
          <w:rPr>
            <w:rFonts w:eastAsia="Calibri" w:cs="Times New Roman"/>
            <w:color w:val="0563C1"/>
            <w:szCs w:val="22"/>
            <w:u w:val="single"/>
          </w:rPr>
          <w:t>LSCL-F-26</w:t>
        </w:r>
      </w:hyperlink>
      <w:r w:rsidR="000F2501" w:rsidRPr="00C411AF">
        <w:rPr>
          <w:rFonts w:eastAsia="Calibri" w:cs="Times New Roman"/>
          <w:szCs w:val="22"/>
        </w:rPr>
        <w:t xml:space="preserve">: Republic Services states that the drop in volumes to Coffin Butte in 2020 is due to the global COVID-19 pandemic, coupled with </w:t>
      </w:r>
      <w:r w:rsidR="00FF0A39">
        <w:rPr>
          <w:rFonts w:eastAsia="Calibri" w:cs="Times New Roman"/>
          <w:szCs w:val="22"/>
        </w:rPr>
        <w:t xml:space="preserve">the </w:t>
      </w:r>
      <w:r w:rsidR="000F2501" w:rsidRPr="00C411AF">
        <w:rPr>
          <w:rFonts w:eastAsia="Calibri" w:cs="Times New Roman"/>
          <w:szCs w:val="22"/>
        </w:rPr>
        <w:t xml:space="preserve">diversion of tonnage from Riverbend Landfill to other landfills besides Coffin Butte. </w:t>
      </w:r>
      <w:r w:rsidR="000F2501" w:rsidRPr="00C411AF">
        <w:rPr>
          <w:rFonts w:eastAsia="Calibri" w:cs="Calibri"/>
          <w:szCs w:val="22"/>
        </w:rPr>
        <w:t>However, tonnage volumes increased again in 2021 due in part to changes in lifestyle/development/</w:t>
      </w:r>
      <w:r w:rsidR="00FF0A39">
        <w:rPr>
          <w:rFonts w:eastAsia="Calibri" w:cs="Calibri"/>
          <w:szCs w:val="22"/>
        </w:rPr>
        <w:t>at-home</w:t>
      </w:r>
      <w:r w:rsidR="000F2501" w:rsidRPr="00C411AF">
        <w:rPr>
          <w:rFonts w:eastAsia="Calibri" w:cs="Calibri"/>
          <w:szCs w:val="22"/>
        </w:rPr>
        <w:t xml:space="preserve"> shopping patterns </w:t>
      </w:r>
      <w:r w:rsidR="00FF0A39">
        <w:rPr>
          <w:rFonts w:eastAsia="Calibri" w:cs="Calibri"/>
          <w:szCs w:val="22"/>
        </w:rPr>
        <w:t>due to</w:t>
      </w:r>
      <w:r w:rsidR="000F2501" w:rsidRPr="00C411AF">
        <w:rPr>
          <w:rFonts w:eastAsia="Calibri" w:cs="Calibri"/>
          <w:szCs w:val="22"/>
        </w:rPr>
        <w:t xml:space="preserve"> the pandemic</w:t>
      </w:r>
      <w:r w:rsidR="00A14A6D">
        <w:rPr>
          <w:rFonts w:eastAsia="Calibri" w:cs="Calibri"/>
          <w:szCs w:val="22"/>
        </w:rPr>
        <w:t xml:space="preserve"> and</w:t>
      </w:r>
      <w:r w:rsidR="000F2501" w:rsidRPr="00C411AF">
        <w:rPr>
          <w:rFonts w:eastAsia="Calibri" w:cs="Calibri"/>
          <w:szCs w:val="22"/>
        </w:rPr>
        <w:t xml:space="preserve"> debris from the Oregon wildfires.</w:t>
      </w:r>
    </w:p>
    <w:p w14:paraId="213E71DE" w14:textId="7E94D14B" w:rsidR="000F2501" w:rsidRPr="00C411AF" w:rsidRDefault="00000000" w:rsidP="000F2501">
      <w:pPr>
        <w:contextualSpacing/>
        <w:rPr>
          <w:rFonts w:eastAsia="Calibri" w:cs="Times New Roman"/>
          <w:szCs w:val="22"/>
        </w:rPr>
      </w:pPr>
      <w:hyperlink w:anchor="_Intake_Volume" w:history="1">
        <w:r w:rsidR="000F2501" w:rsidRPr="003764C6">
          <w:rPr>
            <w:rStyle w:val="Hyperlink"/>
            <w:rFonts w:eastAsia="Calibri" w:cs="Times New Roman"/>
            <w:szCs w:val="22"/>
          </w:rPr>
          <w:t>LSCL-F-27</w:t>
        </w:r>
      </w:hyperlink>
      <w:r w:rsidR="000F2501" w:rsidRPr="00C411AF">
        <w:rPr>
          <w:rFonts w:eastAsia="Calibri" w:cs="Times New Roman"/>
          <w:szCs w:val="22"/>
        </w:rPr>
        <w:t>: A range of human factors have been seen to influence the landfill’s intake rate and</w:t>
      </w:r>
      <w:r w:rsidR="00FF0A39">
        <w:rPr>
          <w:rFonts w:eastAsia="Calibri" w:cs="Times New Roman"/>
          <w:szCs w:val="22"/>
        </w:rPr>
        <w:t>,</w:t>
      </w:r>
      <w:r w:rsidR="000F2501" w:rsidRPr="00C411AF">
        <w:rPr>
          <w:rFonts w:eastAsia="Calibri" w:cs="Times New Roman"/>
          <w:szCs w:val="22"/>
        </w:rPr>
        <w:t xml:space="preserve"> therefore</w:t>
      </w:r>
      <w:r w:rsidR="00A14A6D">
        <w:rPr>
          <w:rFonts w:eastAsia="Calibri" w:cs="Times New Roman"/>
          <w:szCs w:val="22"/>
        </w:rPr>
        <w:t>,</w:t>
      </w:r>
      <w:r w:rsidR="000F2501" w:rsidRPr="00C411AF">
        <w:rPr>
          <w:rFonts w:eastAsia="Calibri" w:cs="Times New Roman"/>
          <w:szCs w:val="22"/>
        </w:rPr>
        <w:t xml:space="preserve"> its operating life in the past. These include business factors such as expansions or contractions of the Service Area, social factors such as recessions and population growth, and environmental factors such as recycling and other initiatives that divert materials </w:t>
      </w:r>
      <w:r w:rsidR="00FF0A39">
        <w:rPr>
          <w:rFonts w:eastAsia="Calibri" w:cs="Times New Roman"/>
          <w:szCs w:val="22"/>
        </w:rPr>
        <w:t>from</w:t>
      </w:r>
      <w:r w:rsidR="000F2501" w:rsidRPr="00C411AF">
        <w:rPr>
          <w:rFonts w:eastAsia="Calibri" w:cs="Times New Roman"/>
          <w:szCs w:val="22"/>
        </w:rPr>
        <w:t xml:space="preserve"> the wastestream.</w:t>
      </w:r>
    </w:p>
    <w:p w14:paraId="73A3135C" w14:textId="77777777" w:rsidR="000F2501" w:rsidRPr="00C411AF" w:rsidRDefault="000F2501" w:rsidP="000F2501">
      <w:pPr>
        <w:contextualSpacing/>
        <w:rPr>
          <w:rFonts w:eastAsia="Calibri" w:cs="Times New Roman"/>
          <w:szCs w:val="22"/>
        </w:rPr>
      </w:pPr>
    </w:p>
    <w:p w14:paraId="522A95B9" w14:textId="21731B47" w:rsidR="000F2501" w:rsidRPr="00C411AF" w:rsidRDefault="00000000" w:rsidP="000F2501">
      <w:pPr>
        <w:contextualSpacing/>
        <w:rPr>
          <w:rFonts w:eastAsia="Calibri" w:cs="Times New Roman"/>
          <w:szCs w:val="22"/>
        </w:rPr>
      </w:pPr>
      <w:hyperlink w:anchor="_Events_and_Factors" w:history="1">
        <w:r w:rsidR="000F2501" w:rsidRPr="003764C6">
          <w:rPr>
            <w:rStyle w:val="Hyperlink"/>
            <w:rFonts w:eastAsia="Calibri" w:cs="Times New Roman"/>
            <w:szCs w:val="22"/>
          </w:rPr>
          <w:t>LSCL-F-28</w:t>
        </w:r>
      </w:hyperlink>
      <w:r w:rsidR="000F2501" w:rsidRPr="00C411AF">
        <w:rPr>
          <w:rFonts w:eastAsia="Calibri" w:cs="Times New Roman"/>
          <w:szCs w:val="22"/>
        </w:rPr>
        <w:t>: More human factors are emerging that will influence the landfill’s intake rate and</w:t>
      </w:r>
      <w:r w:rsidR="00A14A6D">
        <w:rPr>
          <w:rFonts w:eastAsia="Calibri" w:cs="Times New Roman"/>
          <w:szCs w:val="22"/>
        </w:rPr>
        <w:t>,</w:t>
      </w:r>
      <w:r w:rsidR="000F2501" w:rsidRPr="00C411AF">
        <w:rPr>
          <w:rFonts w:eastAsia="Calibri" w:cs="Times New Roman"/>
          <w:szCs w:val="22"/>
        </w:rPr>
        <w:t xml:space="preserve"> therefore</w:t>
      </w:r>
      <w:r w:rsidR="00A14A6D">
        <w:rPr>
          <w:rFonts w:eastAsia="Calibri" w:cs="Times New Roman"/>
          <w:szCs w:val="22"/>
        </w:rPr>
        <w:t>,</w:t>
      </w:r>
      <w:r w:rsidR="000F2501" w:rsidRPr="00C411AF">
        <w:rPr>
          <w:rFonts w:eastAsia="Calibri" w:cs="Times New Roman"/>
          <w:szCs w:val="22"/>
        </w:rPr>
        <w:t xml:space="preserve"> its operating life in the future. These include newly enacted state legislation assigning responsibility for disposal costs to </w:t>
      </w:r>
      <w:r w:rsidR="00A14A6D">
        <w:rPr>
          <w:rFonts w:eastAsia="Calibri" w:cs="Times New Roman"/>
          <w:szCs w:val="22"/>
        </w:rPr>
        <w:t>waste material producers, new</w:t>
      </w:r>
      <w:r w:rsidR="000F2501" w:rsidRPr="00C411AF">
        <w:rPr>
          <w:rFonts w:eastAsia="Calibri" w:cs="Times New Roman"/>
          <w:szCs w:val="22"/>
        </w:rPr>
        <w:t xml:space="preserve"> legislation addressing food waste, and national legislation being rolled out that targets methane and other greenhouse gas pollution.</w:t>
      </w:r>
    </w:p>
    <w:p w14:paraId="46BECA3A" w14:textId="77777777" w:rsidR="000F2501" w:rsidRPr="00C411AF" w:rsidRDefault="000F2501" w:rsidP="000F2501">
      <w:pPr>
        <w:contextualSpacing/>
        <w:rPr>
          <w:rFonts w:eastAsia="Calibri" w:cs="Times New Roman"/>
          <w:szCs w:val="22"/>
        </w:rPr>
      </w:pPr>
    </w:p>
    <w:p w14:paraId="2060DBC1" w14:textId="3D5DD948" w:rsidR="000F2501" w:rsidRPr="00C411AF" w:rsidRDefault="00000000" w:rsidP="000F2501">
      <w:pPr>
        <w:spacing w:after="240" w:line="240" w:lineRule="auto"/>
        <w:contextualSpacing/>
        <w:rPr>
          <w:rFonts w:eastAsia="Calibri" w:cs="Calibri"/>
          <w:iCs/>
          <w:szCs w:val="22"/>
        </w:rPr>
      </w:pPr>
      <w:hyperlink w:anchor="_Intake_Volume" w:history="1">
        <w:r w:rsidR="000F2501" w:rsidRPr="00C411AF">
          <w:rPr>
            <w:rFonts w:eastAsia="Calibri" w:cs="Calibri"/>
            <w:color w:val="0563C1"/>
            <w:szCs w:val="22"/>
            <w:u w:val="single"/>
          </w:rPr>
          <w:t>LSCL-F-29</w:t>
        </w:r>
      </w:hyperlink>
      <w:r w:rsidR="000F2501" w:rsidRPr="00C411AF">
        <w:rPr>
          <w:rFonts w:eastAsia="Calibri" w:cs="Calibri"/>
          <w:szCs w:val="22"/>
        </w:rPr>
        <w:t xml:space="preserve">: A 2016 MOU between Benton County and Republic Services acknowledged </w:t>
      </w:r>
      <w:r w:rsidR="00A14A6D">
        <w:rPr>
          <w:rFonts w:eastAsia="Calibri" w:cs="Calibri"/>
          <w:szCs w:val="22"/>
        </w:rPr>
        <w:t xml:space="preserve">that </w:t>
      </w:r>
      <w:r w:rsidR="000F2501" w:rsidRPr="00C411AF">
        <w:rPr>
          <w:rFonts w:eastAsia="Calibri" w:cs="Calibri"/>
          <w:szCs w:val="22"/>
        </w:rPr>
        <w:t>“Coffin Butte Landfill will be accepting municipal solid waste currently being delivered to Waste Management’s Riverbend Landfill for a term of 1-2 years, beginning in January of 2017.”</w:t>
      </w:r>
      <w:r w:rsidR="000F2501" w:rsidRPr="00C411AF">
        <w:rPr>
          <w:rFonts w:eastAsia="Calibri" w:cs="Calibri"/>
          <w:iCs/>
          <w:szCs w:val="22"/>
        </w:rPr>
        <w:t xml:space="preserve">  </w:t>
      </w:r>
    </w:p>
    <w:p w14:paraId="3EDB35EF" w14:textId="77777777" w:rsidR="000F2501" w:rsidRPr="00C411AF" w:rsidRDefault="000F2501" w:rsidP="000F2501">
      <w:pPr>
        <w:spacing w:after="240" w:line="240" w:lineRule="auto"/>
        <w:contextualSpacing/>
        <w:rPr>
          <w:rFonts w:eastAsia="Calibri" w:cs="Calibri"/>
          <w:iCs/>
          <w:szCs w:val="22"/>
        </w:rPr>
      </w:pPr>
    </w:p>
    <w:p w14:paraId="7AB0DBDA" w14:textId="77777777" w:rsidR="000F2501" w:rsidRPr="00C411AF" w:rsidRDefault="00000000" w:rsidP="000F2501">
      <w:pPr>
        <w:spacing w:after="240" w:line="240" w:lineRule="auto"/>
        <w:contextualSpacing/>
        <w:rPr>
          <w:rFonts w:eastAsia="Calibri" w:cs="Calibri"/>
          <w:szCs w:val="22"/>
        </w:rPr>
      </w:pPr>
      <w:hyperlink w:anchor="_Intake_Volume" w:history="1">
        <w:r w:rsidR="000F2501" w:rsidRPr="003764C6">
          <w:rPr>
            <w:rStyle w:val="Hyperlink"/>
            <w:rFonts w:eastAsia="Calibri" w:cs="Times New Roman"/>
            <w:szCs w:val="22"/>
          </w:rPr>
          <w:t>LSCL-F-30</w:t>
        </w:r>
      </w:hyperlink>
      <w:r w:rsidR="000F2501" w:rsidRPr="00C411AF">
        <w:rPr>
          <w:rFonts w:eastAsia="Calibri" w:cs="Times New Roman"/>
          <w:szCs w:val="22"/>
        </w:rPr>
        <w:t xml:space="preserve">: </w:t>
      </w:r>
      <w:r w:rsidR="000F2501" w:rsidRPr="00C411AF">
        <w:rPr>
          <w:rFonts w:eastAsia="Calibri" w:cs="Calibri"/>
          <w:iCs/>
          <w:szCs w:val="22"/>
        </w:rPr>
        <w:t>The 2016 MOU</w:t>
      </w:r>
      <w:r w:rsidR="000F2501" w:rsidRPr="00C411AF">
        <w:rPr>
          <w:rFonts w:eastAsia="Calibri" w:cs="Calibri"/>
          <w:szCs w:val="22"/>
        </w:rPr>
        <w:t xml:space="preserve"> does not </w:t>
      </w:r>
      <w:r w:rsidR="000F2501" w:rsidRPr="00C411AF">
        <w:rPr>
          <w:rFonts w:eastAsia="Calibri" w:cs="Calibri"/>
          <w:iCs/>
          <w:szCs w:val="22"/>
        </w:rPr>
        <w:t>contain language preventing</w:t>
      </w:r>
      <w:r w:rsidR="000F2501" w:rsidRPr="00C411AF">
        <w:rPr>
          <w:rFonts w:eastAsia="Calibri" w:cs="Calibri"/>
          <w:szCs w:val="22"/>
        </w:rPr>
        <w:t xml:space="preserve"> Benton County from exercising its rights under the 2000 Landfill Franchise Agreement (see Recommendations).</w:t>
      </w:r>
    </w:p>
    <w:p w14:paraId="6DEF25B7" w14:textId="77777777" w:rsidR="000F2501" w:rsidRPr="00C411AF" w:rsidRDefault="000F2501" w:rsidP="000F2501">
      <w:pPr>
        <w:spacing w:after="240" w:line="240" w:lineRule="auto"/>
        <w:ind w:left="720"/>
        <w:contextualSpacing/>
        <w:rPr>
          <w:rFonts w:eastAsia="Calibri" w:cs="Calibri"/>
          <w:iCs/>
          <w:szCs w:val="22"/>
        </w:rPr>
      </w:pPr>
    </w:p>
    <w:p w14:paraId="0A86D080" w14:textId="77777777" w:rsidR="000F2501" w:rsidRPr="00C411AF" w:rsidRDefault="000F2501" w:rsidP="000F2501">
      <w:pPr>
        <w:spacing w:after="240" w:line="240" w:lineRule="auto"/>
        <w:ind w:left="720"/>
        <w:contextualSpacing/>
        <w:rPr>
          <w:rFonts w:eastAsia="Calibri" w:cs="Calibri"/>
          <w:iCs/>
          <w:strike/>
          <w:szCs w:val="22"/>
        </w:rPr>
      </w:pPr>
    </w:p>
    <w:p w14:paraId="70F96B14" w14:textId="77777777" w:rsidR="000F2501" w:rsidRPr="00C411AF" w:rsidRDefault="000F2501" w:rsidP="000F2501">
      <w:pPr>
        <w:spacing w:after="240" w:line="240" w:lineRule="auto"/>
        <w:rPr>
          <w:rFonts w:eastAsia="Calibri" w:cs="Arial"/>
          <w:b/>
          <w:szCs w:val="22"/>
          <w:u w:val="single"/>
        </w:rPr>
      </w:pPr>
      <w:r w:rsidRPr="00C411AF">
        <w:rPr>
          <w:rFonts w:eastAsia="Calibri" w:cs="Arial"/>
          <w:b/>
          <w:szCs w:val="22"/>
          <w:u w:val="single"/>
        </w:rPr>
        <w:t>Specific Locations</w:t>
      </w:r>
    </w:p>
    <w:p w14:paraId="2B8DE164" w14:textId="14F9306A" w:rsidR="000F2501" w:rsidRPr="00C411AF" w:rsidRDefault="00000000" w:rsidP="000F2501">
      <w:pPr>
        <w:spacing w:after="240" w:line="240" w:lineRule="auto"/>
        <w:rPr>
          <w:rFonts w:eastAsia="Calibri" w:cs="Arial"/>
          <w:b/>
          <w:szCs w:val="22"/>
          <w:u w:val="single"/>
        </w:rPr>
      </w:pPr>
      <w:hyperlink w:anchor="_Cell_6_(Quarry)" w:history="1">
        <w:r w:rsidR="000F2501" w:rsidRPr="003764C6">
          <w:rPr>
            <w:rStyle w:val="Hyperlink"/>
            <w:rFonts w:eastAsia="Calibri" w:cs="Times New Roman"/>
            <w:szCs w:val="22"/>
          </w:rPr>
          <w:t>LSCL-F-31</w:t>
        </w:r>
      </w:hyperlink>
      <w:r w:rsidR="000F2501" w:rsidRPr="00C411AF">
        <w:rPr>
          <w:rFonts w:eastAsia="Calibri" w:cs="Times New Roman"/>
          <w:szCs w:val="22"/>
        </w:rPr>
        <w:t xml:space="preserve">: </w:t>
      </w:r>
      <w:r w:rsidR="000F2501" w:rsidRPr="00C411AF">
        <w:rPr>
          <w:rFonts w:eastAsia="Calibri" w:cs="Times New Roman"/>
          <w:iCs/>
          <w:szCs w:val="22"/>
        </w:rPr>
        <w:t xml:space="preserve">Valley Landfills Inc. anticipates it will no longer be able to place waste in Cell 5 by mid-year 2025. </w:t>
      </w:r>
      <w:r w:rsidR="000F2501" w:rsidRPr="00C411AF">
        <w:rPr>
          <w:rFonts w:eastAsia="Calibri" w:cs="Times New Roman"/>
          <w:szCs w:val="22"/>
        </w:rPr>
        <w:t>When Cell 5 is full, Republic Services is working on a contingency plan to deposit waste in the permitted area of the landfill known as the quarry known as Cell 6.</w:t>
      </w:r>
      <w:r w:rsidR="000F2501" w:rsidRPr="00C411AF">
        <w:rPr>
          <w:rFonts w:eastAsia="Calibri" w:cs="Times New Roman"/>
          <w:iCs/>
          <w:szCs w:val="22"/>
        </w:rPr>
        <w:t xml:space="preserve"> Excavation of the primary quarry footprint is scheduled to begin in </w:t>
      </w:r>
      <w:r w:rsidR="00A14A6D">
        <w:rPr>
          <w:rFonts w:eastAsia="Calibri" w:cs="Times New Roman"/>
          <w:iCs/>
          <w:szCs w:val="22"/>
        </w:rPr>
        <w:t xml:space="preserve">Spring </w:t>
      </w:r>
      <w:r w:rsidR="000F2501" w:rsidRPr="00C411AF">
        <w:rPr>
          <w:rFonts w:eastAsia="Calibri" w:cs="Times New Roman"/>
          <w:iCs/>
          <w:szCs w:val="22"/>
        </w:rPr>
        <w:t>2023</w:t>
      </w:r>
      <w:r w:rsidR="00A14A6D">
        <w:rPr>
          <w:rFonts w:eastAsia="Calibri" w:cs="Times New Roman"/>
          <w:iCs/>
          <w:szCs w:val="22"/>
        </w:rPr>
        <w:t>,</w:t>
      </w:r>
      <w:r w:rsidR="000F2501" w:rsidRPr="00C411AF">
        <w:rPr>
          <w:rFonts w:eastAsia="Calibri" w:cs="Times New Roman"/>
          <w:iCs/>
          <w:szCs w:val="22"/>
        </w:rPr>
        <w:t xml:space="preserve"> with completion in Spring 2025.</w:t>
      </w:r>
    </w:p>
    <w:p w14:paraId="7D0C8E5E" w14:textId="36C302B0" w:rsidR="000F2501" w:rsidRPr="00C411AF" w:rsidRDefault="00000000" w:rsidP="000F2501">
      <w:pPr>
        <w:spacing w:after="240" w:line="240" w:lineRule="auto"/>
        <w:contextualSpacing/>
        <w:rPr>
          <w:rFonts w:eastAsia="Calibri" w:cs="Times New Roman"/>
          <w:szCs w:val="22"/>
        </w:rPr>
      </w:pPr>
      <w:hyperlink w:anchor="_1983__Rezoning" w:history="1">
        <w:r w:rsidR="000F2501" w:rsidRPr="00C411AF">
          <w:rPr>
            <w:rFonts w:eastAsia="Calibri" w:cs="Times New Roman"/>
            <w:color w:val="0563C1"/>
            <w:szCs w:val="22"/>
            <w:u w:val="single"/>
          </w:rPr>
          <w:t>LSCL-F-32</w:t>
        </w:r>
      </w:hyperlink>
      <w:r w:rsidR="000F2501" w:rsidRPr="00C411AF">
        <w:rPr>
          <w:rFonts w:eastAsia="Calibri" w:cs="Times New Roman"/>
          <w:szCs w:val="22"/>
        </w:rPr>
        <w:t>: Approval of the 1983 rezoning was recommended by SWAC and CAC on the condition that “No landfill be allowed on property south of Coffin Butte Road.”</w:t>
      </w:r>
    </w:p>
    <w:p w14:paraId="65BEB291" w14:textId="77777777" w:rsidR="000F2501" w:rsidRPr="00C411AF" w:rsidRDefault="000F2501" w:rsidP="000F2501">
      <w:pPr>
        <w:spacing w:after="240" w:line="240" w:lineRule="auto"/>
        <w:contextualSpacing/>
        <w:rPr>
          <w:szCs w:val="22"/>
        </w:rPr>
      </w:pPr>
    </w:p>
    <w:p w14:paraId="5FD55FC8" w14:textId="5248794F" w:rsidR="000F2501" w:rsidRPr="00C411AF" w:rsidRDefault="00000000" w:rsidP="000F2501">
      <w:pPr>
        <w:spacing w:after="240" w:line="240" w:lineRule="auto"/>
        <w:contextualSpacing/>
        <w:rPr>
          <w:rFonts w:eastAsia="Calibri" w:cs="Times New Roman"/>
          <w:szCs w:val="22"/>
        </w:rPr>
      </w:pPr>
      <w:hyperlink w:anchor="_1983__Rezoning" w:history="1">
        <w:r w:rsidR="000F2501" w:rsidRPr="00C411AF">
          <w:rPr>
            <w:rFonts w:eastAsia="Calibri" w:cs="Times New Roman"/>
            <w:color w:val="0563C1"/>
            <w:szCs w:val="22"/>
            <w:u w:val="single"/>
          </w:rPr>
          <w:t>LSCL-F-33</w:t>
        </w:r>
      </w:hyperlink>
      <w:r w:rsidR="000F2501" w:rsidRPr="00C411AF">
        <w:rPr>
          <w:rFonts w:eastAsia="Calibri" w:cs="Times New Roman"/>
          <w:szCs w:val="22"/>
        </w:rPr>
        <w:t xml:space="preserve">: The recommended condition prohibiting landfill south of Coffin Butte Road was </w:t>
      </w:r>
      <w:r w:rsidR="000F2501" w:rsidRPr="00C411AF">
        <w:rPr>
          <w:rFonts w:eastAsia="Calibri" w:cs="Times New Roman"/>
          <w:szCs w:val="22"/>
          <w:u w:val="single"/>
        </w:rPr>
        <w:t>not</w:t>
      </w:r>
      <w:r w:rsidR="000F2501" w:rsidRPr="00C411AF">
        <w:rPr>
          <w:rFonts w:eastAsia="Calibri" w:cs="Times New Roman"/>
          <w:szCs w:val="22"/>
        </w:rPr>
        <w:t xml:space="preserve"> </w:t>
      </w:r>
      <w:r w:rsidR="000F2501" w:rsidRPr="00C411AF">
        <w:rPr>
          <w:rFonts w:eastAsia="Calibri" w:cs="Times New Roman"/>
          <w:szCs w:val="22"/>
          <w:u w:val="single"/>
        </w:rPr>
        <w:t>included</w:t>
      </w:r>
      <w:r w:rsidR="000F2501" w:rsidRPr="00C411AF">
        <w:rPr>
          <w:rFonts w:eastAsia="Calibri" w:cs="Times New Roman"/>
          <w:szCs w:val="22"/>
        </w:rPr>
        <w:t xml:space="preserve"> in the 1983 rezoning ordinance through a change recommended by Benton County Staff, in which Staff noted that any new disposal area would require approval of the Planning Commission in a public vote.  The process for approving </w:t>
      </w:r>
      <w:r w:rsidR="00A14A6D">
        <w:rPr>
          <w:rFonts w:eastAsia="Calibri" w:cs="Times New Roman"/>
          <w:szCs w:val="22"/>
        </w:rPr>
        <w:t xml:space="preserve">the </w:t>
      </w:r>
      <w:r w:rsidR="000F2501" w:rsidRPr="00C411AF">
        <w:rPr>
          <w:rFonts w:eastAsia="Calibri" w:cs="Times New Roman"/>
          <w:szCs w:val="22"/>
        </w:rPr>
        <w:t>landfill south of Coffin Butte Road was subsequently changed to “allowed by conditional use permit</w:t>
      </w:r>
      <w:r w:rsidR="000F2501" w:rsidRPr="00C411AF">
        <w:rPr>
          <w:rFonts w:eastAsia="Calibri" w:cs="Times New Roman"/>
          <w:iCs/>
          <w:szCs w:val="22"/>
        </w:rPr>
        <w:t>.” This appears to be done</w:t>
      </w:r>
      <w:r w:rsidR="000F2501" w:rsidRPr="00C411AF">
        <w:rPr>
          <w:rFonts w:eastAsia="Calibri" w:cs="Times New Roman"/>
          <w:szCs w:val="22"/>
        </w:rPr>
        <w:t xml:space="preserve"> via Ord. 90-0069 (BCC 77.305)</w:t>
      </w:r>
      <w:r w:rsidR="00A14A6D">
        <w:rPr>
          <w:rFonts w:eastAsia="Calibri" w:cs="Times New Roman"/>
          <w:szCs w:val="22"/>
        </w:rPr>
        <w:t>.</w:t>
      </w:r>
      <w:r w:rsidR="000F2501" w:rsidRPr="00C411AF">
        <w:rPr>
          <w:rFonts w:eastAsia="Calibri" w:cs="Times New Roman"/>
          <w:szCs w:val="22"/>
        </w:rPr>
        <w:t xml:space="preserve"> </w:t>
      </w:r>
      <w:r w:rsidR="000F2501" w:rsidRPr="00C411AF">
        <w:rPr>
          <w:rFonts w:eastAsia="Calibri" w:cs="Calibri"/>
          <w:szCs w:val="22"/>
        </w:rPr>
        <w:t>This change was memorialized in the 2002 Memorandum of Understanding executed by Valley Landfills and Benton County.</w:t>
      </w:r>
    </w:p>
    <w:p w14:paraId="17C86635" w14:textId="77777777" w:rsidR="000F2501" w:rsidRPr="00C411AF" w:rsidRDefault="000F2501" w:rsidP="000F2501">
      <w:pPr>
        <w:spacing w:after="240" w:line="240" w:lineRule="auto"/>
        <w:rPr>
          <w:rFonts w:eastAsia="Calibri" w:cs="Times New Roman"/>
          <w:iCs/>
          <w:szCs w:val="22"/>
        </w:rPr>
      </w:pPr>
    </w:p>
    <w:p w14:paraId="7E05BDF7" w14:textId="77777777" w:rsidR="000F2501" w:rsidRPr="00C411AF" w:rsidRDefault="000F2501" w:rsidP="000F2501">
      <w:pPr>
        <w:spacing w:after="240" w:line="240" w:lineRule="auto"/>
        <w:rPr>
          <w:rFonts w:eastAsia="Calibri" w:cs="Arial"/>
          <w:b/>
          <w:szCs w:val="22"/>
          <w:u w:val="single"/>
        </w:rPr>
      </w:pPr>
      <w:r w:rsidRPr="00C411AF">
        <w:rPr>
          <w:rFonts w:eastAsia="Calibri" w:cs="Arial"/>
          <w:b/>
          <w:szCs w:val="22"/>
          <w:u w:val="single"/>
        </w:rPr>
        <w:t>Landfill Size: Footprint and Structure</w:t>
      </w:r>
    </w:p>
    <w:p w14:paraId="3D55AE35" w14:textId="5B7E369D" w:rsidR="000F2501" w:rsidRPr="00C411AF" w:rsidRDefault="00000000" w:rsidP="000F2501">
      <w:pPr>
        <w:spacing w:after="240" w:line="240" w:lineRule="auto"/>
        <w:contextualSpacing/>
        <w:rPr>
          <w:rFonts w:eastAsia="Calibri" w:cs="Times New Roman"/>
          <w:szCs w:val="22"/>
        </w:rPr>
      </w:pPr>
      <w:hyperlink w:anchor="_1983__Rezoning" w:history="1">
        <w:r w:rsidR="000F2501" w:rsidRPr="00C411AF">
          <w:rPr>
            <w:rFonts w:eastAsia="Calibri" w:cs="Times New Roman"/>
            <w:color w:val="0563C1"/>
            <w:szCs w:val="22"/>
            <w:u w:val="single"/>
          </w:rPr>
          <w:t>LSCL-F-34</w:t>
        </w:r>
      </w:hyperlink>
      <w:r w:rsidR="000F2501" w:rsidRPr="00C411AF">
        <w:rPr>
          <w:rFonts w:eastAsia="Calibri" w:cs="Times New Roman"/>
          <w:szCs w:val="22"/>
        </w:rPr>
        <w:t xml:space="preserve">: The 1983 rezoning action defined 194 acres as Landfill Size (LS) zone. An additional 56-acre parcel south of Coffin Butte Road, while zoned LS, would not be used for </w:t>
      </w:r>
      <w:r w:rsidR="00A14A6D">
        <w:rPr>
          <w:rFonts w:eastAsia="Calibri" w:cs="Times New Roman"/>
          <w:szCs w:val="22"/>
        </w:rPr>
        <w:t>solid waste disposal</w:t>
      </w:r>
      <w:r w:rsidR="000F2501" w:rsidRPr="00C411AF">
        <w:rPr>
          <w:rFonts w:eastAsia="Calibri" w:cs="Times New Roman"/>
          <w:szCs w:val="22"/>
        </w:rPr>
        <w:t xml:space="preserve"> unless approved by a conditional use permit and Department of Environmental Quality permit for solid waste landfill use. The site map attached to the 2002 MOU restricted “fill” activity to the north side of Coffin Butte Road.</w:t>
      </w:r>
    </w:p>
    <w:p w14:paraId="1B08FC4D" w14:textId="77777777" w:rsidR="000F2501" w:rsidRPr="00C411AF" w:rsidRDefault="000F2501" w:rsidP="000F2501">
      <w:pPr>
        <w:spacing w:after="240" w:line="240" w:lineRule="auto"/>
        <w:contextualSpacing/>
        <w:rPr>
          <w:rFonts w:eastAsia="Calibri" w:cs="Times New Roman"/>
          <w:szCs w:val="22"/>
        </w:rPr>
      </w:pPr>
    </w:p>
    <w:p w14:paraId="42C3CFAB" w14:textId="53F15CD7" w:rsidR="000F2501" w:rsidRPr="00C411AF" w:rsidRDefault="00000000" w:rsidP="000F2501">
      <w:pPr>
        <w:spacing w:after="240" w:line="240" w:lineRule="auto"/>
        <w:rPr>
          <w:rFonts w:eastAsia="Calibri" w:cs="Times New Roman"/>
          <w:szCs w:val="22"/>
        </w:rPr>
      </w:pPr>
      <w:hyperlink w:anchor="_Physical_Real_Estate" w:history="1">
        <w:r w:rsidR="000F2501" w:rsidRPr="00C411AF">
          <w:rPr>
            <w:rFonts w:eastAsia="Calibri" w:cs="Times New Roman"/>
            <w:color w:val="0563C1"/>
            <w:szCs w:val="22"/>
            <w:u w:val="single"/>
          </w:rPr>
          <w:t>LSCL-F-3</w:t>
        </w:r>
      </w:hyperlink>
      <w:r w:rsidR="000F2501" w:rsidRPr="00C411AF">
        <w:rPr>
          <w:rFonts w:eastAsia="Calibri" w:cs="Times New Roman"/>
          <w:color w:val="0563C1"/>
          <w:szCs w:val="22"/>
          <w:u w:val="single"/>
        </w:rPr>
        <w:t>5</w:t>
      </w:r>
      <w:r w:rsidR="000F2501" w:rsidRPr="00C411AF">
        <w:rPr>
          <w:rFonts w:eastAsia="Calibri" w:cs="Times New Roman"/>
          <w:szCs w:val="22"/>
        </w:rPr>
        <w:t xml:space="preserve">: </w:t>
      </w:r>
      <w:r w:rsidR="000F2501" w:rsidRPr="00C411AF">
        <w:rPr>
          <w:rFonts w:eastAsia="Calibri" w:cs="Calibri"/>
          <w:szCs w:val="22"/>
        </w:rPr>
        <w:t xml:space="preserve">Twenty-three </w:t>
      </w:r>
      <w:r w:rsidR="000F2501" w:rsidRPr="00C411AF">
        <w:rPr>
          <w:rFonts w:eastAsia="Calibri" w:cs="Times New Roman"/>
          <w:szCs w:val="22"/>
        </w:rPr>
        <w:t xml:space="preserve">tax lots are owned by landfill-affiliated entities. Six of these </w:t>
      </w:r>
      <w:r w:rsidR="005949F1" w:rsidRPr="00C411AF">
        <w:rPr>
          <w:rFonts w:eastAsia="Calibri" w:cs="Times New Roman"/>
          <w:szCs w:val="22"/>
        </w:rPr>
        <w:t>tax lots</w:t>
      </w:r>
      <w:r w:rsidR="000F2501" w:rsidRPr="00C411AF">
        <w:rPr>
          <w:rFonts w:eastAsia="Calibri" w:cs="Times New Roman"/>
          <w:szCs w:val="22"/>
        </w:rPr>
        <w:t xml:space="preserve"> are zoned LS, and the 5 LS tax lots on the north side of Coffin Butte Road contain landfill cell disposal areas.  The most recent tax lots associated with the landfill were purchased in 2001 (non-disposal areas).</w:t>
      </w:r>
    </w:p>
    <w:p w14:paraId="6D02A7B6" w14:textId="6D837C72" w:rsidR="000F2501" w:rsidRPr="00C411AF" w:rsidRDefault="00000000" w:rsidP="000F2501">
      <w:pPr>
        <w:spacing w:after="240" w:line="240" w:lineRule="auto"/>
        <w:contextualSpacing/>
        <w:rPr>
          <w:rFonts w:eastAsia="Calibri" w:cs="Calibri"/>
          <w:szCs w:val="22"/>
        </w:rPr>
      </w:pPr>
      <w:hyperlink w:anchor="_Section_1:_Landfill" w:history="1">
        <w:r w:rsidR="000F2501" w:rsidRPr="00C411AF">
          <w:rPr>
            <w:rFonts w:eastAsia="Calibri" w:cs="Calibri"/>
            <w:color w:val="0563C1"/>
            <w:szCs w:val="22"/>
            <w:u w:val="single"/>
          </w:rPr>
          <w:t>LSCL-F-36</w:t>
        </w:r>
      </w:hyperlink>
      <w:r w:rsidR="000F2501" w:rsidRPr="00C411AF">
        <w:rPr>
          <w:rFonts w:eastAsia="Calibri" w:cs="Calibri"/>
          <w:szCs w:val="22"/>
        </w:rPr>
        <w:t>: The landfill has changed visually over time. Coffin Butte Landfill has changed visually since its designation as a regional landfill in 1974, growing in both height and size. However, the overall landfill acreage, most notably permitted airspace, hasn’t changed significantly since 1983; it has filled in more of its footprint.</w:t>
      </w:r>
    </w:p>
    <w:p w14:paraId="19E8F418" w14:textId="77777777" w:rsidR="000F2501" w:rsidRPr="00480A96" w:rsidRDefault="000F2501" w:rsidP="000F2501"/>
    <w:p w14:paraId="46550A11" w14:textId="77777777" w:rsidR="00941D63" w:rsidRDefault="00941D63">
      <w:pPr>
        <w:rPr>
          <w:b/>
          <w:bCs/>
          <w:szCs w:val="22"/>
        </w:rPr>
      </w:pPr>
      <w:r>
        <w:rPr>
          <w:b/>
          <w:bCs/>
          <w:szCs w:val="22"/>
        </w:rPr>
        <w:br w:type="page"/>
      </w:r>
    </w:p>
    <w:p w14:paraId="3E3EDE36" w14:textId="444C8347" w:rsidR="000F2501" w:rsidRPr="00C411AF" w:rsidRDefault="000F2501" w:rsidP="000F2501">
      <w:pPr>
        <w:rPr>
          <w:b/>
          <w:bCs/>
          <w:szCs w:val="22"/>
        </w:rPr>
      </w:pPr>
      <w:r w:rsidRPr="00C411AF">
        <w:rPr>
          <w:b/>
          <w:bCs/>
          <w:szCs w:val="22"/>
        </w:rPr>
        <w:lastRenderedPageBreak/>
        <w:t>Key Recommendations:</w:t>
      </w:r>
    </w:p>
    <w:p w14:paraId="39BF4175" w14:textId="77777777" w:rsidR="000F2501" w:rsidRPr="00C411AF" w:rsidRDefault="00000000" w:rsidP="000F2501">
      <w:pPr>
        <w:rPr>
          <w:rFonts w:eastAsia="Calibri" w:cs="Times New Roman"/>
          <w:szCs w:val="22"/>
        </w:rPr>
      </w:pPr>
      <w:hyperlink w:anchor="_Events_and_Factors" w:history="1">
        <w:r w:rsidR="000F2501" w:rsidRPr="00C411AF">
          <w:rPr>
            <w:rFonts w:eastAsia="Calibri" w:cs="Times New Roman"/>
            <w:iCs/>
            <w:color w:val="0563C1"/>
            <w:szCs w:val="22"/>
            <w:u w:val="single"/>
          </w:rPr>
          <w:t>LSCL-R-1</w:t>
        </w:r>
      </w:hyperlink>
      <w:r w:rsidR="000F2501" w:rsidRPr="00C411AF">
        <w:rPr>
          <w:rFonts w:eastAsia="Calibri" w:cs="Times New Roman"/>
          <w:iCs/>
          <w:szCs w:val="22"/>
        </w:rPr>
        <w:t xml:space="preserve">: </w:t>
      </w:r>
      <w:r w:rsidR="000F2501" w:rsidRPr="00C411AF">
        <w:rPr>
          <w:rFonts w:eastAsia="Calibri" w:cs="Times New Roman"/>
          <w:szCs w:val="22"/>
        </w:rPr>
        <w:t>The Sustainable Materials Management Plan should further develop scenarios and factors that may impact the landfill lifespan, including detailed analyses of likely projections.</w:t>
      </w:r>
    </w:p>
    <w:p w14:paraId="793EFF0A" w14:textId="649514D7" w:rsidR="000F2501" w:rsidRPr="00C411AF" w:rsidRDefault="00000000" w:rsidP="000F2501">
      <w:pPr>
        <w:rPr>
          <w:rFonts w:eastAsia="Calibri" w:cs="Times New Roman"/>
          <w:szCs w:val="22"/>
        </w:rPr>
      </w:pPr>
      <w:hyperlink w:anchor="_Intake_Volume" w:history="1">
        <w:r w:rsidR="000F2501" w:rsidRPr="00547F24">
          <w:rPr>
            <w:rStyle w:val="Hyperlink"/>
            <w:rFonts w:eastAsia="Calibri" w:cs="Times New Roman"/>
            <w:szCs w:val="22"/>
          </w:rPr>
          <w:t>LSCL-R-2</w:t>
        </w:r>
      </w:hyperlink>
      <w:r w:rsidR="000F2501" w:rsidRPr="00C411AF">
        <w:rPr>
          <w:rFonts w:eastAsia="Calibri" w:cs="Times New Roman"/>
          <w:szCs w:val="22"/>
        </w:rPr>
        <w:t xml:space="preserve">: Benton County should create and share a plan </w:t>
      </w:r>
      <w:r w:rsidR="00A14A6D">
        <w:rPr>
          <w:rFonts w:eastAsia="Calibri" w:cs="Times New Roman"/>
          <w:szCs w:val="22"/>
        </w:rPr>
        <w:t>to enforce</w:t>
      </w:r>
      <w:r w:rsidR="000F2501" w:rsidRPr="00C411AF">
        <w:rPr>
          <w:rFonts w:eastAsia="Calibri" w:cs="Times New Roman"/>
          <w:szCs w:val="22"/>
        </w:rPr>
        <w:t xml:space="preserve"> all franchise agreements, including the 2020 Landfill Franchise Agreement Tonnage Cap.</w:t>
      </w:r>
    </w:p>
    <w:p w14:paraId="00CB2529" w14:textId="4873752D" w:rsidR="000F2501" w:rsidRPr="00C411AF" w:rsidRDefault="00000000" w:rsidP="000F2501">
      <w:pPr>
        <w:rPr>
          <w:rFonts w:eastAsia="Calibri" w:cs="Arial"/>
          <w:szCs w:val="22"/>
        </w:rPr>
      </w:pPr>
      <w:hyperlink w:anchor="_Intake_Volume" w:history="1">
        <w:r w:rsidR="000F2501" w:rsidRPr="00547F24">
          <w:rPr>
            <w:rStyle w:val="Hyperlink"/>
            <w:rFonts w:eastAsia="Calibri" w:cs="Arial"/>
            <w:bCs/>
            <w:szCs w:val="22"/>
          </w:rPr>
          <w:t>LSCL-R-3</w:t>
        </w:r>
      </w:hyperlink>
      <w:r w:rsidR="000F2501" w:rsidRPr="00C411AF">
        <w:rPr>
          <w:rFonts w:eastAsia="Calibri" w:cs="Arial"/>
          <w:bCs/>
          <w:szCs w:val="22"/>
        </w:rPr>
        <w:t>:</w:t>
      </w:r>
      <w:r w:rsidR="000F2501" w:rsidRPr="00C411AF">
        <w:rPr>
          <w:rFonts w:eastAsia="Calibri" w:cs="Arial"/>
          <w:szCs w:val="22"/>
        </w:rPr>
        <w:t xml:space="preserve"> Benton County shall conduct an updated Baseline Study to evaluate the impact of the current intake level at Coffin Butte.  As with the 2001 Baseline Study stipulated in the 2000 Landfill Franchise Agreement, this study should determine and measure adverse effects, including but not limited to: traffic, soil conditions and contamination levels, air quality, surface and </w:t>
      </w:r>
      <w:r w:rsidR="00A14A6D">
        <w:rPr>
          <w:rFonts w:eastAsia="Calibri" w:cs="Arial"/>
          <w:szCs w:val="22"/>
        </w:rPr>
        <w:t>groundwater</w:t>
      </w:r>
      <w:r w:rsidR="000F2501" w:rsidRPr="00C411AF">
        <w:rPr>
          <w:rFonts w:eastAsia="Calibri" w:cs="Arial"/>
          <w:szCs w:val="22"/>
        </w:rPr>
        <w:t xml:space="preserve"> conditions and contamination levels, noise, odor, visual screenings, litter, hours of operation, solid waste control systems and compliance with all solid waste Permits. The county should then use this information to inform decision-making and financial choices regarding income from the landfill franchise.</w:t>
      </w:r>
    </w:p>
    <w:p w14:paraId="0C5D598F" w14:textId="59634C27" w:rsidR="000F2501" w:rsidRPr="00C411AF" w:rsidRDefault="00000000" w:rsidP="000F2501">
      <w:pPr>
        <w:rPr>
          <w:rFonts w:eastAsia="Calibri" w:cs="Arial"/>
          <w:szCs w:val="22"/>
        </w:rPr>
      </w:pPr>
      <w:hyperlink w:anchor="_Intake_Volume" w:history="1">
        <w:r w:rsidR="000F2501" w:rsidRPr="00547F24">
          <w:rPr>
            <w:rStyle w:val="Hyperlink"/>
            <w:rFonts w:eastAsia="Calibri" w:cs="Arial"/>
            <w:szCs w:val="22"/>
          </w:rPr>
          <w:t>LSCL-R-4</w:t>
        </w:r>
      </w:hyperlink>
      <w:r w:rsidR="000F2501" w:rsidRPr="00C411AF">
        <w:rPr>
          <w:rFonts w:eastAsia="Calibri" w:cs="Arial"/>
          <w:szCs w:val="22"/>
        </w:rPr>
        <w:t xml:space="preserve">: The County should, as soon as possible, consider the public record of the deliberations leading to the execution of the 2020 Landfill Franchise Agreement </w:t>
      </w:r>
      <w:r w:rsidR="00A14A6D">
        <w:rPr>
          <w:rFonts w:eastAsia="Calibri" w:cs="Arial"/>
          <w:szCs w:val="22"/>
        </w:rPr>
        <w:t>to</w:t>
      </w:r>
      <w:r w:rsidR="000F2501" w:rsidRPr="00C411AF">
        <w:rPr>
          <w:rFonts w:eastAsia="Calibri" w:cs="Arial"/>
          <w:szCs w:val="22"/>
        </w:rPr>
        <w:t xml:space="preserve"> assess a) which party requested that the 2020 Tonnage Cap be eliminated if expansion was approved, b) if Benton County proposed the elimination of the 2020 Tonnage Cap, determine why this was done, c) determine the County’s expectation for the benefit(s) to the County of accepting up to 1.1M Tons of waste per year when the County’s reserve portion is approximately 6.8% of that amount, d) interpretation of the “Tonnage Cap</w:t>
      </w:r>
      <w:r w:rsidR="00A14A6D">
        <w:rPr>
          <w:rFonts w:eastAsia="Calibri" w:cs="Arial"/>
          <w:szCs w:val="22"/>
        </w:rPr>
        <w:t>,”</w:t>
      </w:r>
      <w:r w:rsidR="000F2501" w:rsidRPr="00C411AF">
        <w:rPr>
          <w:rFonts w:eastAsia="Calibri" w:cs="Arial"/>
          <w:szCs w:val="22"/>
        </w:rPr>
        <w:t xml:space="preserve"> specifically relative to the 2020 Tonnage Cap, and e) expectations of both parties for future landfill site expansion, including any plans for multiple (repeated) future expansions. The county should then use this information to inform landfill-related decision-making. </w:t>
      </w:r>
    </w:p>
    <w:p w14:paraId="7441773F" w14:textId="77777777" w:rsidR="000F2501" w:rsidRPr="00C411AF" w:rsidRDefault="00000000" w:rsidP="000F2501">
      <w:pPr>
        <w:rPr>
          <w:rFonts w:eastAsia="Calibri" w:cs="Arial"/>
          <w:szCs w:val="22"/>
        </w:rPr>
      </w:pPr>
      <w:hyperlink w:anchor="_Permitted_Disposal_Capacity" w:history="1">
        <w:r w:rsidR="000F2501" w:rsidRPr="00547F24">
          <w:rPr>
            <w:rStyle w:val="Hyperlink"/>
            <w:rFonts w:eastAsia="Calibri" w:cs="Arial"/>
            <w:szCs w:val="22"/>
          </w:rPr>
          <w:t>LSCL-R-5</w:t>
        </w:r>
      </w:hyperlink>
      <w:r w:rsidR="000F2501" w:rsidRPr="00C411AF">
        <w:rPr>
          <w:rFonts w:eastAsia="Calibri" w:cs="Arial"/>
          <w:szCs w:val="22"/>
        </w:rPr>
        <w:t>: Benton County should clarify and document the process for officially establishing Permitted Space, including any and all required Benton County actions and regulatory agency approvals (ODEQ, EPA, etc.).</w:t>
      </w:r>
    </w:p>
    <w:p w14:paraId="0E88AF5A" w14:textId="77777777" w:rsidR="000F2501" w:rsidRPr="00C411AF" w:rsidRDefault="00000000" w:rsidP="000F2501">
      <w:pPr>
        <w:spacing w:after="240" w:line="240" w:lineRule="auto"/>
        <w:rPr>
          <w:rFonts w:eastAsia="Calibri" w:cs="Times New Roman"/>
          <w:iCs/>
          <w:szCs w:val="22"/>
        </w:rPr>
      </w:pPr>
      <w:hyperlink w:anchor="_Cell_6_(Quarry)" w:history="1">
        <w:r w:rsidR="000F2501" w:rsidRPr="00547F24">
          <w:rPr>
            <w:rStyle w:val="Hyperlink"/>
            <w:rFonts w:eastAsia="Calibri" w:cs="Arial"/>
            <w:szCs w:val="22"/>
          </w:rPr>
          <w:t>LSCL-R-6</w:t>
        </w:r>
      </w:hyperlink>
      <w:r w:rsidR="000F2501" w:rsidRPr="00C411AF">
        <w:rPr>
          <w:rFonts w:eastAsia="Calibri" w:cs="Arial"/>
          <w:szCs w:val="22"/>
        </w:rPr>
        <w:t xml:space="preserve">: </w:t>
      </w:r>
      <w:r w:rsidR="000F2501" w:rsidRPr="00C411AF">
        <w:rPr>
          <w:rFonts w:eastAsia="Calibri" w:cs="Times New Roman"/>
          <w:iCs/>
          <w:szCs w:val="22"/>
        </w:rPr>
        <w:t>The County should clarify when formal approval of Cell 6 as a disposal area was granted.</w:t>
      </w:r>
    </w:p>
    <w:p w14:paraId="2CBBCA84" w14:textId="0F95F33D" w:rsidR="000F2501" w:rsidRPr="00C411AF" w:rsidRDefault="00000000" w:rsidP="000F2501">
      <w:pPr>
        <w:rPr>
          <w:rFonts w:eastAsia="Calibri" w:cs="Arial"/>
          <w:szCs w:val="22"/>
        </w:rPr>
      </w:pPr>
      <w:hyperlink w:anchor="_Intake_Volume" w:history="1">
        <w:r w:rsidR="000F2501" w:rsidRPr="00547F24">
          <w:rPr>
            <w:rStyle w:val="Hyperlink"/>
            <w:rFonts w:eastAsia="Calibri" w:cs="Arial"/>
            <w:szCs w:val="22"/>
          </w:rPr>
          <w:t>LSCL-R-7</w:t>
        </w:r>
      </w:hyperlink>
      <w:r w:rsidR="000F2501" w:rsidRPr="00C411AF">
        <w:rPr>
          <w:rFonts w:eastAsia="Calibri" w:cs="Arial"/>
          <w:szCs w:val="22"/>
        </w:rPr>
        <w:t xml:space="preserve">: The Benton County Solid Waste Advisory Council (SWAC) should review all future Coffin Butte Annual Reports relative to past reports and official approvals, in particular </w:t>
      </w:r>
      <w:r w:rsidR="00A14A6D">
        <w:rPr>
          <w:rFonts w:eastAsia="Calibri" w:cs="Arial"/>
          <w:szCs w:val="22"/>
        </w:rPr>
        <w:t>about</w:t>
      </w:r>
      <w:r w:rsidR="000F2501" w:rsidRPr="00C411AF">
        <w:rPr>
          <w:rFonts w:eastAsia="Calibri" w:cs="Arial"/>
          <w:szCs w:val="22"/>
        </w:rPr>
        <w:t xml:space="preserve"> intake volume, landfill traffic volume (both Municipal Solid Waste</w:t>
      </w:r>
      <w:r w:rsidR="0018646D">
        <w:rPr>
          <w:rFonts w:eastAsia="Calibri" w:cs="Arial"/>
          <w:szCs w:val="22"/>
        </w:rPr>
        <w:t xml:space="preserve"> </w:t>
      </w:r>
      <w:r w:rsidR="000F2501" w:rsidRPr="00C411AF">
        <w:rPr>
          <w:rFonts w:eastAsia="Calibri" w:cs="Arial"/>
          <w:szCs w:val="22"/>
        </w:rPr>
        <w:t>and leachate transport), expected Landfill Life and EOL, and total and remaining Permitted Space. SWAC should report these findings to the BOC for consideration.</w:t>
      </w:r>
    </w:p>
    <w:p w14:paraId="3B54F3FC" w14:textId="58CB867B" w:rsidR="000F2501" w:rsidRPr="00C411AF" w:rsidRDefault="00000000" w:rsidP="000F2501">
      <w:pPr>
        <w:spacing w:after="240" w:line="240" w:lineRule="auto"/>
        <w:rPr>
          <w:rFonts w:eastAsia="Calibri" w:cs="Times New Roman"/>
          <w:iCs/>
          <w:szCs w:val="22"/>
        </w:rPr>
      </w:pPr>
      <w:hyperlink w:anchor="_Intake_Volume" w:history="1">
        <w:r w:rsidR="000F2501" w:rsidRPr="00547F24">
          <w:rPr>
            <w:rStyle w:val="Hyperlink"/>
            <w:rFonts w:eastAsia="Calibri" w:cs="Arial"/>
            <w:szCs w:val="22"/>
          </w:rPr>
          <w:t>LSCL-R-8</w:t>
        </w:r>
      </w:hyperlink>
      <w:r w:rsidR="000F2501" w:rsidRPr="00C411AF">
        <w:rPr>
          <w:rFonts w:eastAsia="Calibri" w:cs="Arial"/>
          <w:szCs w:val="22"/>
        </w:rPr>
        <w:t xml:space="preserve">: Benton County should secure information from Republic Services about </w:t>
      </w:r>
      <w:r w:rsidR="000F2501" w:rsidRPr="00C411AF">
        <w:rPr>
          <w:rFonts w:eastAsia="Calibri" w:cs="Times New Roman"/>
          <w:iCs/>
          <w:szCs w:val="22"/>
        </w:rPr>
        <w:t>the Annual Tonnage figures for presentation to SWAC/DSAC as soon as they are available and not wait to include them for the first time in the Annual Report.</w:t>
      </w:r>
    </w:p>
    <w:p w14:paraId="0FD17CDF" w14:textId="0667F26B" w:rsidR="00007E3F" w:rsidRDefault="00007E3F" w:rsidP="00941D63">
      <w:pPr>
        <w:pStyle w:val="Heading1"/>
        <w:jc w:val="center"/>
      </w:pPr>
      <w:bookmarkStart w:id="3" w:name="_Toc127990005"/>
      <w:r>
        <w:lastRenderedPageBreak/>
        <w:t>Legal Issues and Land Use Review Subcommittee</w:t>
      </w:r>
      <w:bookmarkEnd w:id="3"/>
    </w:p>
    <w:p w14:paraId="38D5BD19" w14:textId="1FC4E034" w:rsidR="00007E3F" w:rsidRDefault="00007E3F" w:rsidP="00007E3F"/>
    <w:p w14:paraId="6B8FDBA4" w14:textId="77777777" w:rsidR="00007E3F" w:rsidRPr="00D42D07" w:rsidRDefault="00007E3F" w:rsidP="00007E3F">
      <w:pPr>
        <w:pStyle w:val="BCTTStyle3"/>
        <w:numPr>
          <w:ilvl w:val="0"/>
          <w:numId w:val="0"/>
        </w:numPr>
        <w:ind w:left="360" w:hanging="360"/>
      </w:pPr>
      <w:r w:rsidRPr="00D42D07">
        <w:t xml:space="preserve">Key Findings: </w:t>
      </w:r>
    </w:p>
    <w:p w14:paraId="0F33F67C" w14:textId="77777777" w:rsidR="00007E3F" w:rsidRPr="005C2FB6" w:rsidRDefault="00000000" w:rsidP="00007E3F">
      <w:pPr>
        <w:pStyle w:val="NoSpacing"/>
        <w:spacing w:after="240"/>
        <w:ind w:left="1260" w:hanging="1260"/>
      </w:pPr>
      <w:hyperlink w:anchor="LLU_F_1" w:history="1">
        <w:r w:rsidR="00007E3F" w:rsidRPr="00D04632">
          <w:rPr>
            <w:rStyle w:val="Hyperlink"/>
            <w:b/>
          </w:rPr>
          <w:t>LLU F-1.</w:t>
        </w:r>
      </w:hyperlink>
      <w:r w:rsidR="00007E3F" w:rsidRPr="00585B7E">
        <w:tab/>
      </w:r>
      <w:r w:rsidR="00007E3F" w:rsidRPr="005C2FB6">
        <w:t xml:space="preserve">Unless a later land use approval expressly addresses whether conditions of a prior land use approval are superseded, the issue will be subject to interpretation by the local government (the Board of County Commissioners, in this case).  </w:t>
      </w:r>
    </w:p>
    <w:p w14:paraId="5783AB9E" w14:textId="0ABEE7B3" w:rsidR="00007E3F" w:rsidRPr="005C2FB6" w:rsidRDefault="00000000" w:rsidP="00007E3F">
      <w:pPr>
        <w:pStyle w:val="NoSpacing"/>
        <w:spacing w:after="240"/>
        <w:ind w:left="1260" w:hanging="1260"/>
      </w:pPr>
      <w:hyperlink w:anchor="LLU_F_2" w:history="1">
        <w:r w:rsidR="00007E3F" w:rsidRPr="00D04632">
          <w:rPr>
            <w:rStyle w:val="Hyperlink"/>
            <w:b/>
          </w:rPr>
          <w:t>LLU F-2.</w:t>
        </w:r>
      </w:hyperlink>
      <w:r w:rsidR="00007E3F" w:rsidRPr="00585B7E">
        <w:tab/>
      </w:r>
      <w:r w:rsidR="00007E3F" w:rsidRPr="005C2FB6">
        <w:rPr>
          <w:rFonts w:eastAsia="Calibri" w:cs="Calibri"/>
          <w:color w:val="000000"/>
        </w:rPr>
        <w:t xml:space="preserve">Only the current franchise agreement </w:t>
      </w:r>
      <w:r w:rsidR="00007E3F">
        <w:rPr>
          <w:rFonts w:eastAsia="Calibri" w:cs="Calibri"/>
          <w:color w:val="000000"/>
        </w:rPr>
        <w:t>has legal effect</w:t>
      </w:r>
      <w:r w:rsidR="00007E3F" w:rsidRPr="005C2FB6">
        <w:rPr>
          <w:rFonts w:eastAsia="Calibri" w:cs="Calibri"/>
          <w:color w:val="000000"/>
        </w:rPr>
        <w:t xml:space="preserve">.  The previous franchise agreement is superseded </w:t>
      </w:r>
      <w:r w:rsidR="0018646D">
        <w:rPr>
          <w:rFonts w:eastAsia="Calibri" w:cs="Calibri"/>
          <w:color w:val="000000"/>
        </w:rPr>
        <w:t>when</w:t>
      </w:r>
      <w:r w:rsidR="00007E3F" w:rsidRPr="005C2FB6">
        <w:rPr>
          <w:rFonts w:eastAsia="Calibri" w:cs="Calibri"/>
          <w:color w:val="000000"/>
        </w:rPr>
        <w:t xml:space="preserve"> a new agreement takes effect.  </w:t>
      </w:r>
    </w:p>
    <w:p w14:paraId="715BAB8E" w14:textId="77777777" w:rsidR="00007E3F" w:rsidRPr="005C2FB6" w:rsidRDefault="00000000" w:rsidP="00007E3F">
      <w:pPr>
        <w:pStyle w:val="NoSpacing"/>
        <w:spacing w:after="240"/>
        <w:ind w:left="1260" w:hanging="1260"/>
      </w:pPr>
      <w:hyperlink w:anchor="LLU_F_3" w:history="1">
        <w:r w:rsidR="00007E3F" w:rsidRPr="00D04632">
          <w:rPr>
            <w:rStyle w:val="Hyperlink"/>
            <w:b/>
          </w:rPr>
          <w:t>LLU F-3.</w:t>
        </w:r>
      </w:hyperlink>
      <w:r w:rsidR="00007E3F" w:rsidRPr="00585B7E">
        <w:tab/>
      </w:r>
      <w:r w:rsidR="00007E3F" w:rsidRPr="005C2FB6">
        <w:rPr>
          <w:rFonts w:cs="Calibri"/>
          <w:color w:val="000000"/>
        </w:rPr>
        <w:t xml:space="preserve">Up-front and ongoing financial assurance to cover the cost of closure, post-closure, and corrective actions are required by DEQ. Where this preliminary line of defense fails, Oregon statute holds any person owning or controlling the disposal site liable for closure and post-closure maintenance.  </w:t>
      </w:r>
    </w:p>
    <w:p w14:paraId="64D15AA6" w14:textId="379DF3E5" w:rsidR="00007E3F" w:rsidRPr="005C2FB6" w:rsidRDefault="00000000" w:rsidP="00007E3F">
      <w:pPr>
        <w:pStyle w:val="NoSpacing"/>
        <w:spacing w:after="240"/>
        <w:ind w:left="1260" w:hanging="1260"/>
      </w:pPr>
      <w:hyperlink w:anchor="LLU_F_4" w:history="1">
        <w:r w:rsidR="00007E3F" w:rsidRPr="00D04632">
          <w:rPr>
            <w:rStyle w:val="Hyperlink"/>
            <w:b/>
          </w:rPr>
          <w:t>LLU F-4.</w:t>
        </w:r>
      </w:hyperlink>
      <w:r w:rsidR="00007E3F" w:rsidRPr="00585B7E">
        <w:tab/>
      </w:r>
      <w:r w:rsidR="00007E3F" w:rsidRPr="005C2FB6">
        <w:t xml:space="preserve">What legally can and cannot be conditions of any land use approvals?  Conditions of approval must relate to approval criteria.  </w:t>
      </w:r>
      <w:r w:rsidR="0018646D">
        <w:t>To</w:t>
      </w:r>
      <w:r w:rsidR="00007E3F" w:rsidRPr="005C2FB6">
        <w:t xml:space="preserve"> be approved, an </w:t>
      </w:r>
      <w:r w:rsidR="0018646D">
        <w:t>applicant</w:t>
      </w:r>
      <w:r w:rsidR="00007E3F" w:rsidRPr="005C2FB6">
        <w:t xml:space="preserve"> must demonstrate compliance with all discretionary approval </w:t>
      </w:r>
      <w:r w:rsidR="00007E3F">
        <w:t>criteria</w:t>
      </w:r>
      <w:r w:rsidR="00007E3F" w:rsidRPr="005C2FB6">
        <w:t>.</w:t>
      </w:r>
      <w:r w:rsidR="00007E3F" w:rsidRPr="00C441DA">
        <w:t xml:space="preserve"> </w:t>
      </w:r>
      <w:r w:rsidR="00007E3F" w:rsidRPr="005C2FB6">
        <w:t xml:space="preserve"> Conditions of approval</w:t>
      </w:r>
      <w:r w:rsidR="00007E3F">
        <w:t xml:space="preserve"> cannot substitute for compliance with applicable criteria</w:t>
      </w:r>
      <w:r w:rsidR="00007E3F" w:rsidRPr="005C2FB6">
        <w:t xml:space="preserve"> </w:t>
      </w:r>
      <w:r w:rsidR="00007E3F">
        <w:t xml:space="preserve">but </w:t>
      </w:r>
      <w:r w:rsidR="00007E3F" w:rsidRPr="005C2FB6">
        <w:t xml:space="preserve">may be imposed to </w:t>
      </w:r>
      <w:r w:rsidR="002549D2">
        <w:t>ensure</w:t>
      </w:r>
      <w:r w:rsidR="00007E3F" w:rsidRPr="005C2FB6">
        <w:t xml:space="preserve"> the criteria are met</w:t>
      </w:r>
      <w:r w:rsidR="00007E3F">
        <w:t>. The county may find compliance with approval criteria by establishing that compliance is feasible</w:t>
      </w:r>
      <w:r w:rsidR="00007E3F" w:rsidRPr="005C2FB6">
        <w:t xml:space="preserve">, subject to compliance with </w:t>
      </w:r>
      <w:r w:rsidR="00A14A6D">
        <w:t xml:space="preserve">a </w:t>
      </w:r>
      <w:r w:rsidR="00007E3F" w:rsidRPr="005C2FB6">
        <w:t>specific condition(s) of approval</w:t>
      </w:r>
      <w:r w:rsidR="00007E3F">
        <w:t xml:space="preserve">. </w:t>
      </w:r>
      <w:r w:rsidR="00007E3F" w:rsidRPr="005C2FB6">
        <w:t xml:space="preserve"> </w:t>
      </w:r>
      <w:r w:rsidR="00007E3F">
        <w:t>A preponderance of the evidence must</w:t>
      </w:r>
      <w:r w:rsidR="00007E3F" w:rsidRPr="005C2FB6">
        <w:t xml:space="preserve"> support</w:t>
      </w:r>
      <w:r w:rsidR="00007E3F">
        <w:t xml:space="preserve"> </w:t>
      </w:r>
      <w:r w:rsidR="00007E3F" w:rsidRPr="005C2FB6">
        <w:t xml:space="preserve">a finding that the condition is “likely and reasonably certain” to result in compliance.  To lessen adverse impacts on surrounding uses, the county may “impose conditions of approval to mitigate negative impacts to adjacent property, to meet the public service demand created by the development activity, or to otherwise ensure compliance with the purpose and provisions of this code.” (BCC 53.220)  </w:t>
      </w:r>
    </w:p>
    <w:p w14:paraId="4E8F7A14" w14:textId="77777777" w:rsidR="00007E3F" w:rsidRPr="005C2FB6" w:rsidRDefault="00000000" w:rsidP="00007E3F">
      <w:pPr>
        <w:pStyle w:val="NoSpacing"/>
        <w:spacing w:after="240"/>
        <w:ind w:left="1260" w:hanging="1260"/>
      </w:pPr>
      <w:hyperlink w:anchor="LLU_F_5" w:history="1">
        <w:r w:rsidR="00007E3F" w:rsidRPr="00D04632">
          <w:rPr>
            <w:rStyle w:val="Hyperlink"/>
            <w:b/>
          </w:rPr>
          <w:t>LLU F-5.</w:t>
        </w:r>
      </w:hyperlink>
      <w:r w:rsidR="00007E3F" w:rsidRPr="00585B7E">
        <w:tab/>
      </w:r>
      <w:r w:rsidR="00007E3F" w:rsidRPr="005C2FB6">
        <w:t xml:space="preserve">In reviewing a CUP for landfill expansion, the County has jurisdiction over only the proposed expansion. Existing and past operations are not within the County’s scope of review. Prior decisions are final and cannot be </w:t>
      </w:r>
      <w:r w:rsidR="00007E3F">
        <w:t>subjected to a new review or have additional/revised conditions of approval imposed</w:t>
      </w:r>
      <w:r w:rsidR="00007E3F" w:rsidRPr="005C2FB6">
        <w:t xml:space="preserve"> as part of the CUP application for the expansion. </w:t>
      </w:r>
    </w:p>
    <w:p w14:paraId="714B410E" w14:textId="77777777" w:rsidR="00007E3F" w:rsidRPr="005C2FB6" w:rsidRDefault="00000000" w:rsidP="00007E3F">
      <w:pPr>
        <w:pStyle w:val="NoSpacing"/>
        <w:spacing w:after="240"/>
        <w:ind w:left="1260" w:hanging="1260"/>
      </w:pPr>
      <w:hyperlink w:anchor="LLU_F_6" w:history="1">
        <w:r w:rsidR="00007E3F" w:rsidRPr="00D04632">
          <w:rPr>
            <w:rStyle w:val="Hyperlink"/>
            <w:b/>
          </w:rPr>
          <w:t>LLU F-6.</w:t>
        </w:r>
      </w:hyperlink>
      <w:r w:rsidR="00007E3F" w:rsidRPr="00585B7E">
        <w:tab/>
      </w:r>
      <w:r w:rsidR="00007E3F" w:rsidRPr="005C2FB6">
        <w:t xml:space="preserve">Benton County may not prohibit a private landfill operator from accepting solid waste from outside Benton County.  </w:t>
      </w:r>
    </w:p>
    <w:p w14:paraId="6F0BB696" w14:textId="25634F30" w:rsidR="00007E3F" w:rsidRPr="005C2FB6" w:rsidRDefault="00000000" w:rsidP="00007E3F">
      <w:pPr>
        <w:pStyle w:val="NoSpacing"/>
        <w:spacing w:after="240"/>
        <w:ind w:left="1260" w:hanging="1260"/>
      </w:pPr>
      <w:hyperlink w:anchor="LLU_F_7" w:history="1">
        <w:r w:rsidR="00007E3F" w:rsidRPr="00D04632">
          <w:rPr>
            <w:rStyle w:val="Hyperlink"/>
            <w:b/>
          </w:rPr>
          <w:t>LLU F-7.</w:t>
        </w:r>
      </w:hyperlink>
      <w:r w:rsidR="00007E3F" w:rsidRPr="00585B7E">
        <w:tab/>
      </w:r>
      <w:r w:rsidR="00007E3F" w:rsidRPr="005C2FB6">
        <w:t xml:space="preserve">Ambiguous terms.  The rules of statutory construction describe how ambiguous terms are to be interpreted:  </w:t>
      </w:r>
      <w:r w:rsidR="00007E3F" w:rsidRPr="005C2FB6">
        <w:rPr>
          <w:rFonts w:cstheme="minorHAnsi"/>
        </w:rPr>
        <w:t>text, context, and legislative history.</w:t>
      </w:r>
      <w:r w:rsidR="00007E3F" w:rsidRPr="005C2FB6">
        <w:t xml:space="preserve">  </w:t>
      </w:r>
      <w:r w:rsidR="00007E3F">
        <w:t>However, LUBA’s standard of review is highly deferential to the local decisionmaker’s interpretations, so if the interpretation is plausible (</w:t>
      </w:r>
      <w:r w:rsidR="005949F1">
        <w:t>does not</w:t>
      </w:r>
      <w:r w:rsidR="00007E3F">
        <w:t xml:space="preserve"> conflict with the </w:t>
      </w:r>
      <w:r w:rsidR="00DC21D4">
        <w:lastRenderedPageBreak/>
        <w:t>provision’s language</w:t>
      </w:r>
      <w:r w:rsidR="00007E3F">
        <w:t>)</w:t>
      </w:r>
      <w:r w:rsidR="00DC21D4">
        <w:t>,</w:t>
      </w:r>
      <w:r w:rsidR="00007E3F">
        <w:t xml:space="preserve"> LUBA (and the courts) will uphold the local interpretation. This gives the </w:t>
      </w:r>
      <w:r w:rsidR="00DC21D4">
        <w:t>decision-maker</w:t>
      </w:r>
      <w:r w:rsidR="00007E3F">
        <w:t xml:space="preserve"> a lot of flexibility in interpreting their own code provisions.  </w:t>
      </w:r>
    </w:p>
    <w:p w14:paraId="2F68861D" w14:textId="77777777" w:rsidR="00007E3F" w:rsidRPr="005C2FB6" w:rsidRDefault="00000000" w:rsidP="00007E3F">
      <w:pPr>
        <w:pStyle w:val="NoSpacing"/>
        <w:spacing w:after="240"/>
        <w:ind w:left="1260" w:hanging="1260"/>
      </w:pPr>
      <w:hyperlink w:anchor="LLU_F_8" w:history="1">
        <w:r w:rsidR="00007E3F" w:rsidRPr="00D04632">
          <w:rPr>
            <w:rStyle w:val="Hyperlink"/>
            <w:b/>
          </w:rPr>
          <w:t>LLU F-8.</w:t>
        </w:r>
      </w:hyperlink>
      <w:r w:rsidR="00007E3F" w:rsidRPr="00585B7E">
        <w:tab/>
      </w:r>
      <w:r w:rsidR="00007E3F" w:rsidRPr="005C2FB6">
        <w:rPr>
          <w:rFonts w:eastAsia="Calibri" w:cs="Calibri"/>
          <w:u w:color="000000"/>
        </w:rPr>
        <w:t>Is DEQ prohibited from permitting another landfill west of the Cascades?</w:t>
      </w:r>
      <w:r w:rsidR="00007E3F" w:rsidRPr="005C2FB6">
        <w:t xml:space="preserve"> No.  </w:t>
      </w:r>
    </w:p>
    <w:p w14:paraId="57EDD67C" w14:textId="593B96CA" w:rsidR="00007E3F" w:rsidRPr="005C2FB6" w:rsidRDefault="00000000" w:rsidP="00007E3F">
      <w:pPr>
        <w:pStyle w:val="NoSpacing"/>
        <w:spacing w:after="240"/>
        <w:ind w:left="1260" w:hanging="1260"/>
      </w:pPr>
      <w:hyperlink w:anchor="LLU_F_9" w:history="1">
        <w:r w:rsidR="00007E3F" w:rsidRPr="00D04632">
          <w:rPr>
            <w:rStyle w:val="Hyperlink"/>
            <w:b/>
          </w:rPr>
          <w:t>LLU F-9.</w:t>
        </w:r>
      </w:hyperlink>
      <w:r w:rsidR="00007E3F" w:rsidRPr="00585B7E">
        <w:tab/>
      </w:r>
      <w:r w:rsidR="00007E3F" w:rsidRPr="005C2FB6">
        <w:rPr>
          <w:rFonts w:eastAsia="Calibri" w:cs="Calibri"/>
          <w:u w:color="000000"/>
        </w:rPr>
        <w:t xml:space="preserve">What does the “regional landfill” designation mean? </w:t>
      </w:r>
      <w:r w:rsidR="00007E3F" w:rsidRPr="005C2FB6">
        <w:t xml:space="preserve">Oregon Revised Statute (ORS) 459.005(23) defines a Regional Disposal Site as </w:t>
      </w:r>
      <w:r w:rsidR="00007E3F" w:rsidRPr="005C2FB6">
        <w:rPr>
          <w:color w:val="000000"/>
        </w:rPr>
        <w:t>“a disposal site that receives … more than 75,000 tons of solid waste a year from outside the immediate service area in which the disposal site is located….” The immediate service area of Coffin Butte is Benton County.  Coffin Butte Landfill has received more than 75,000 tons from outside its immediate service area every year since at least 1993.  Coffin Butte Landfill is</w:t>
      </w:r>
      <w:r w:rsidR="00DC21D4">
        <w:rPr>
          <w:color w:val="000000"/>
        </w:rPr>
        <w:t>,</w:t>
      </w:r>
      <w:r w:rsidR="00007E3F" w:rsidRPr="005C2FB6">
        <w:rPr>
          <w:color w:val="000000"/>
        </w:rPr>
        <w:t xml:space="preserve"> by definition</w:t>
      </w:r>
      <w:r w:rsidR="00DC21D4">
        <w:rPr>
          <w:color w:val="000000"/>
        </w:rPr>
        <w:t>,</w:t>
      </w:r>
      <w:r w:rsidR="00007E3F" w:rsidRPr="005C2FB6">
        <w:rPr>
          <w:color w:val="000000"/>
        </w:rPr>
        <w:t xml:space="preserve"> a regional landfill.</w:t>
      </w:r>
      <w:r w:rsidR="00007E3F" w:rsidRPr="005C2FB6">
        <w:t xml:space="preserve">  </w:t>
      </w:r>
    </w:p>
    <w:p w14:paraId="5A4A259E" w14:textId="54FD98AD" w:rsidR="00007E3F" w:rsidRDefault="00000000" w:rsidP="00007E3F">
      <w:pPr>
        <w:pStyle w:val="NoSpacing"/>
        <w:spacing w:after="240"/>
        <w:ind w:left="1260" w:hanging="1260"/>
        <w:rPr>
          <w:rFonts w:eastAsia="Calibri" w:cstheme="minorHAnsi"/>
        </w:rPr>
      </w:pPr>
      <w:hyperlink w:anchor="LLU_F_10" w:history="1">
        <w:r w:rsidR="00007E3F" w:rsidRPr="00D04632">
          <w:rPr>
            <w:rStyle w:val="Hyperlink"/>
            <w:b/>
            <w:bCs/>
          </w:rPr>
          <w:t>LLU F-10</w:t>
        </w:r>
        <w:r w:rsidR="00007E3F">
          <w:rPr>
            <w:rStyle w:val="Hyperlink"/>
            <w:b/>
            <w:bCs/>
          </w:rPr>
          <w:t>a</w:t>
        </w:r>
        <w:r w:rsidR="00007E3F" w:rsidRPr="00D04632">
          <w:rPr>
            <w:rStyle w:val="Hyperlink"/>
            <w:b/>
            <w:bCs/>
          </w:rPr>
          <w:t>.</w:t>
        </w:r>
      </w:hyperlink>
      <w:r w:rsidR="00007E3F" w:rsidRPr="00585B7E">
        <w:tab/>
      </w:r>
      <w:r w:rsidR="00007E3F" w:rsidRPr="005C2FB6">
        <w:t xml:space="preserve">The review criteria for a landfill-expansion conditional use permit require subjective determinations </w:t>
      </w:r>
      <w:r w:rsidR="00007E3F">
        <w:t>i</w:t>
      </w:r>
      <w:r w:rsidR="00007E3F" w:rsidRPr="005C2FB6">
        <w:t>n the context of a specific application.  In the criterion of “</w:t>
      </w:r>
      <w:r w:rsidR="00007E3F" w:rsidRPr="005C2FB6">
        <w:rPr>
          <w:rFonts w:eastAsia="Calibri" w:cstheme="minorHAnsi"/>
          <w:i/>
          <w:iCs/>
        </w:rPr>
        <w:t>The proposed use does not seriously interfere with uses on adjacent property, with the character of the area, or with the purpose of the zone”</w:t>
      </w:r>
      <w:r w:rsidR="00007E3F">
        <w:rPr>
          <w:rFonts w:eastAsia="Calibri" w:cstheme="minorHAnsi"/>
        </w:rPr>
        <w:t xml:space="preserve"> [BCC 53.215(1)]</w:t>
      </w:r>
      <w:r w:rsidR="00007E3F" w:rsidRPr="005C2FB6">
        <w:rPr>
          <w:rFonts w:eastAsia="Calibri" w:cstheme="minorHAnsi"/>
        </w:rPr>
        <w:t xml:space="preserve">, the term “seriously interfere” has generally been interpreted in Benton County land use decisions as:  does the proposed use make it difficult to continue uses on </w:t>
      </w:r>
      <w:r w:rsidR="00DC21D4">
        <w:rPr>
          <w:rFonts w:eastAsia="Calibri" w:cstheme="minorHAnsi"/>
        </w:rPr>
        <w:t xml:space="preserve">the </w:t>
      </w:r>
      <w:r w:rsidR="00007E3F" w:rsidRPr="005C2FB6">
        <w:rPr>
          <w:rFonts w:eastAsia="Calibri" w:cstheme="minorHAnsi"/>
        </w:rPr>
        <w:t xml:space="preserve">adjacent property; would it create significant disruption to the character of the area; would it conflict, in a substantive way, with the purpose of the zone.  </w:t>
      </w:r>
      <w:r w:rsidR="00007E3F">
        <w:rPr>
          <w:rFonts w:eastAsia="Calibri" w:cstheme="minorHAnsi"/>
        </w:rPr>
        <w:t xml:space="preserve">As noted above, the county </w:t>
      </w:r>
      <w:r w:rsidR="00DC21D4">
        <w:rPr>
          <w:rFonts w:eastAsia="Calibri" w:cstheme="minorHAnsi"/>
        </w:rPr>
        <w:t>decision-makers</w:t>
      </w:r>
      <w:r w:rsidR="00007E3F">
        <w:rPr>
          <w:rFonts w:eastAsia="Calibri" w:cstheme="minorHAnsi"/>
        </w:rPr>
        <w:t xml:space="preserve"> have wide discretion in evaluating whether a use will “seriously interfere</w:t>
      </w:r>
      <w:r w:rsidR="00DC21D4">
        <w:rPr>
          <w:rFonts w:eastAsia="Calibri" w:cstheme="minorHAnsi"/>
        </w:rPr>
        <w:t>.”</w:t>
      </w:r>
      <w:r w:rsidR="00007E3F">
        <w:rPr>
          <w:rFonts w:eastAsia="Calibri" w:cstheme="minorHAnsi"/>
        </w:rPr>
        <w:t xml:space="preserve">  In the past,  </w:t>
      </w:r>
      <w:r w:rsidR="00007E3F" w:rsidRPr="005C2FB6">
        <w:rPr>
          <w:rFonts w:eastAsia="Calibri" w:cstheme="minorHAnsi"/>
        </w:rPr>
        <w:t>“</w:t>
      </w:r>
      <w:r w:rsidR="00007E3F">
        <w:rPr>
          <w:rFonts w:eastAsia="Calibri" w:cstheme="minorHAnsi"/>
        </w:rPr>
        <w:t>s</w:t>
      </w:r>
      <w:r w:rsidR="00007E3F" w:rsidRPr="005C2FB6">
        <w:rPr>
          <w:rFonts w:eastAsia="Calibri" w:cstheme="minorHAnsi"/>
        </w:rPr>
        <w:t>eriously interfere” has</w:t>
      </w:r>
      <w:r w:rsidR="00007E3F">
        <w:rPr>
          <w:rFonts w:eastAsia="Calibri" w:cstheme="minorHAnsi"/>
        </w:rPr>
        <w:t xml:space="preserve"> generally</w:t>
      </w:r>
      <w:r w:rsidR="00007E3F" w:rsidRPr="005C2FB6">
        <w:rPr>
          <w:rFonts w:eastAsia="Calibri" w:cstheme="minorHAnsi"/>
        </w:rPr>
        <w:t xml:space="preserve"> been applied as meaning more than an inconvenience or irritation but is a lesser threshold than rendering </w:t>
      </w:r>
      <w:r w:rsidR="00DC21D4">
        <w:rPr>
          <w:rFonts w:eastAsia="Calibri" w:cstheme="minorHAnsi"/>
        </w:rPr>
        <w:t>the uses on adjacent property impossible</w:t>
      </w:r>
      <w:r w:rsidR="00007E3F" w:rsidRPr="005C2FB6">
        <w:rPr>
          <w:rFonts w:eastAsia="Calibri" w:cstheme="minorHAnsi"/>
        </w:rPr>
        <w:t xml:space="preserve">.  Speculated effect on property values has not been a primary consideration in determining serious interference. </w:t>
      </w:r>
    </w:p>
    <w:p w14:paraId="6991FEAE" w14:textId="77777777" w:rsidR="00007E3F" w:rsidRPr="0092227C" w:rsidRDefault="00000000" w:rsidP="00007E3F">
      <w:pPr>
        <w:pStyle w:val="NoSpacing"/>
        <w:spacing w:after="120"/>
        <w:ind w:left="1267" w:hanging="1267"/>
        <w:jc w:val="both"/>
        <w:rPr>
          <w:rFonts w:eastAsia="Calibri" w:cstheme="minorHAnsi"/>
        </w:rPr>
      </w:pPr>
      <w:hyperlink w:anchor="LLU_F_10" w:history="1">
        <w:r w:rsidR="00007E3F" w:rsidRPr="00C26CB0">
          <w:rPr>
            <w:rStyle w:val="Hyperlink"/>
            <w:rFonts w:eastAsia="Calibri" w:cstheme="minorHAnsi"/>
            <w:b/>
            <w:bCs/>
          </w:rPr>
          <w:t>LLU F-10b.</w:t>
        </w:r>
      </w:hyperlink>
      <w:r w:rsidR="00007E3F">
        <w:rPr>
          <w:rFonts w:eastAsia="Calibri" w:cstheme="minorHAnsi"/>
        </w:rPr>
        <w:tab/>
      </w:r>
      <w:r w:rsidR="00007E3F" w:rsidRPr="0092227C">
        <w:rPr>
          <w:rFonts w:eastAsia="Calibri" w:cstheme="minorHAnsi"/>
        </w:rPr>
        <w:t xml:space="preserve">In the phrase “character of the area” in BCC 53.215(1), how narrow or broad has “the area” typically been?  </w:t>
      </w:r>
    </w:p>
    <w:p w14:paraId="20E442B6" w14:textId="77777777" w:rsidR="00007E3F" w:rsidRPr="005C2FB6" w:rsidRDefault="00007E3F" w:rsidP="00007E3F">
      <w:pPr>
        <w:pStyle w:val="NoSpacing"/>
        <w:spacing w:after="240"/>
        <w:ind w:left="1260"/>
      </w:pPr>
      <w:r>
        <w:rPr>
          <w:rFonts w:eastAsia="Calibri" w:cstheme="minorHAnsi"/>
        </w:rPr>
        <w:t>In determining how broadly to define “the area” for purposes of evaluating the character of the area, h</w:t>
      </w:r>
      <w:r w:rsidRPr="0092227C">
        <w:rPr>
          <w:rFonts w:eastAsia="Calibri" w:cstheme="minorHAnsi"/>
        </w:rPr>
        <w:t>ow far are the effects of the proposed land use likely to extend?  This may differ by particular effect—for example, the impact of noise might extend farther than visual impact (or vice versa).</w:t>
      </w:r>
    </w:p>
    <w:p w14:paraId="6FE0105D" w14:textId="69FDEA6A" w:rsidR="00007E3F" w:rsidRPr="0092227C" w:rsidRDefault="00007E3F" w:rsidP="00007E3F">
      <w:pPr>
        <w:pStyle w:val="NoSpacing"/>
        <w:spacing w:after="240"/>
        <w:ind w:left="1260"/>
        <w:rPr>
          <w:rFonts w:eastAsia="Calibri" w:cstheme="minorHAnsi"/>
        </w:rPr>
      </w:pPr>
      <w:r w:rsidRPr="0092227C">
        <w:rPr>
          <w:rFonts w:eastAsia="Calibri" w:cstheme="minorHAnsi"/>
        </w:rPr>
        <w:t xml:space="preserve">The phrase “the character of the area” must be interpreted and applied in each land use application review.  Because each review is unique, </w:t>
      </w:r>
      <w:r w:rsidR="00DC21D4">
        <w:rPr>
          <w:rFonts w:eastAsia="Calibri" w:cstheme="minorHAnsi"/>
        </w:rPr>
        <w:t>examining</w:t>
      </w:r>
      <w:r w:rsidRPr="0092227C">
        <w:rPr>
          <w:rFonts w:eastAsia="Calibri" w:cstheme="minorHAnsi"/>
        </w:rPr>
        <w:t xml:space="preserve"> past cases for the specific distances utilized may not be illuminating.  Key factors that are considered in determining the character of the area and its extent include:</w:t>
      </w:r>
    </w:p>
    <w:p w14:paraId="01E0AE3C" w14:textId="77777777" w:rsidR="00007E3F" w:rsidRPr="0092227C" w:rsidRDefault="00007E3F" w:rsidP="00007E3F">
      <w:pPr>
        <w:pStyle w:val="NoSpacing"/>
        <w:numPr>
          <w:ilvl w:val="0"/>
          <w:numId w:val="5"/>
        </w:numPr>
        <w:spacing w:after="240"/>
        <w:rPr>
          <w:rFonts w:eastAsia="Calibri" w:cstheme="minorHAnsi"/>
        </w:rPr>
      </w:pPr>
      <w:r w:rsidRPr="0092227C">
        <w:rPr>
          <w:rFonts w:eastAsia="Calibri" w:cstheme="minorHAnsi"/>
        </w:rPr>
        <w:t>The particular</w:t>
      </w:r>
      <w:r>
        <w:rPr>
          <w:rFonts w:eastAsia="Calibri" w:cstheme="minorHAnsi"/>
        </w:rPr>
        <w:t xml:space="preserve"> attributes</w:t>
      </w:r>
      <w:r w:rsidRPr="0092227C">
        <w:rPr>
          <w:rFonts w:eastAsia="Calibri" w:cstheme="minorHAnsi"/>
        </w:rPr>
        <w:t xml:space="preserve"> of the geographic setting</w:t>
      </w:r>
      <w:r>
        <w:rPr>
          <w:rFonts w:eastAsia="Calibri" w:cstheme="minorHAnsi"/>
        </w:rPr>
        <w:t xml:space="preserve"> (including the existing landfill operation in the case of Coffin Butte.)</w:t>
      </w:r>
    </w:p>
    <w:p w14:paraId="2388DD62" w14:textId="4D961C6C" w:rsidR="00007E3F" w:rsidRPr="0092227C" w:rsidRDefault="00007E3F" w:rsidP="00007E3F">
      <w:pPr>
        <w:pStyle w:val="NoSpacing"/>
        <w:numPr>
          <w:ilvl w:val="0"/>
          <w:numId w:val="5"/>
        </w:numPr>
        <w:spacing w:after="240"/>
        <w:rPr>
          <w:rFonts w:eastAsia="Calibri" w:cstheme="minorHAnsi"/>
        </w:rPr>
      </w:pPr>
      <w:r w:rsidRPr="0092227C">
        <w:rPr>
          <w:rFonts w:eastAsia="Calibri" w:cstheme="minorHAnsi"/>
        </w:rPr>
        <w:lastRenderedPageBreak/>
        <w:t xml:space="preserve">Is there a distinct change in the </w:t>
      </w:r>
      <w:r w:rsidR="00DC21D4" w:rsidRPr="00DC21D4">
        <w:rPr>
          <w:rFonts w:eastAsia="Calibri" w:cstheme="minorHAnsi"/>
        </w:rPr>
        <w:t xml:space="preserve">area's physical characteristics beyond a certain point (such as a change from flat land to hills or </w:t>
      </w:r>
      <w:r w:rsidR="0018646D">
        <w:rPr>
          <w:rFonts w:eastAsia="Calibri" w:cstheme="minorHAnsi"/>
        </w:rPr>
        <w:t>f</w:t>
      </w:r>
      <w:r w:rsidR="00DC21D4" w:rsidRPr="00DC21D4">
        <w:rPr>
          <w:rFonts w:eastAsia="Calibri" w:cstheme="minorHAnsi"/>
        </w:rPr>
        <w:t>rom one river basin across a ridgeline into another</w:t>
      </w:r>
      <w:r w:rsidRPr="0092227C">
        <w:rPr>
          <w:rFonts w:eastAsia="Calibri" w:cstheme="minorHAnsi"/>
        </w:rPr>
        <w:t>)?</w:t>
      </w:r>
    </w:p>
    <w:p w14:paraId="54A1CB2D" w14:textId="77777777" w:rsidR="00007E3F" w:rsidRDefault="00007E3F" w:rsidP="00007E3F">
      <w:pPr>
        <w:pStyle w:val="NoSpacing"/>
        <w:numPr>
          <w:ilvl w:val="0"/>
          <w:numId w:val="5"/>
        </w:numPr>
        <w:spacing w:after="240"/>
        <w:rPr>
          <w:rFonts w:eastAsia="Calibri" w:cstheme="minorHAnsi"/>
        </w:rPr>
      </w:pPr>
      <w:r w:rsidRPr="0092227C">
        <w:rPr>
          <w:rFonts w:eastAsia="Calibri" w:cstheme="minorHAnsi"/>
        </w:rPr>
        <w:t xml:space="preserve">What </w:t>
      </w:r>
      <w:r>
        <w:rPr>
          <w:rFonts w:eastAsia="Calibri" w:cstheme="minorHAnsi"/>
        </w:rPr>
        <w:t>features</w:t>
      </w:r>
      <w:r w:rsidRPr="0092227C">
        <w:rPr>
          <w:rFonts w:eastAsia="Calibri" w:cstheme="minorHAnsi"/>
        </w:rPr>
        <w:t xml:space="preserve"> or elements give the area its character?  Is it a homogenous or heterogeneous character</w:t>
      </w:r>
      <w:r>
        <w:rPr>
          <w:rFonts w:eastAsia="Calibri" w:cstheme="minorHAnsi"/>
        </w:rPr>
        <w:t xml:space="preserve"> (is there a high degree of similarity, or is it mixed)</w:t>
      </w:r>
      <w:r w:rsidRPr="0092227C">
        <w:rPr>
          <w:rFonts w:eastAsia="Calibri" w:cstheme="minorHAnsi"/>
        </w:rPr>
        <w:t xml:space="preserve">?  </w:t>
      </w:r>
    </w:p>
    <w:p w14:paraId="5DFC4E45" w14:textId="77777777" w:rsidR="00007E3F" w:rsidRPr="0092227C" w:rsidRDefault="00007E3F" w:rsidP="00007E3F">
      <w:pPr>
        <w:pStyle w:val="NoSpacing"/>
        <w:spacing w:after="240"/>
        <w:ind w:left="1260"/>
        <w:rPr>
          <w:rFonts w:eastAsia="Calibri" w:cstheme="minorHAnsi"/>
        </w:rPr>
      </w:pPr>
      <w:r>
        <w:rPr>
          <w:rFonts w:eastAsia="Calibri" w:cstheme="minorHAnsi"/>
        </w:rPr>
        <w:t>[Language in this finding needs fine-tuning.]</w:t>
      </w:r>
    </w:p>
    <w:p w14:paraId="33538D80" w14:textId="12CD299D" w:rsidR="00007E3F" w:rsidRPr="00EA3ABE" w:rsidRDefault="00000000" w:rsidP="00007E3F">
      <w:pPr>
        <w:pStyle w:val="NoSpacing"/>
        <w:spacing w:after="240"/>
        <w:ind w:left="1260" w:hanging="1260"/>
        <w:rPr>
          <w:rFonts w:eastAsia="Calibri" w:cstheme="minorHAnsi"/>
        </w:rPr>
      </w:pPr>
      <w:hyperlink w:anchor="LLU_F_11" w:history="1">
        <w:r w:rsidR="00007E3F" w:rsidRPr="00D04632">
          <w:rPr>
            <w:rStyle w:val="Hyperlink"/>
            <w:b/>
            <w:bCs/>
          </w:rPr>
          <w:t>LLU F-11.</w:t>
        </w:r>
      </w:hyperlink>
      <w:r w:rsidR="00007E3F" w:rsidRPr="00585B7E">
        <w:tab/>
      </w:r>
      <w:r w:rsidR="00007E3F" w:rsidRPr="005C2FB6">
        <w:rPr>
          <w:rFonts w:eastAsia="Calibri" w:cstheme="minorHAnsi"/>
        </w:rPr>
        <w:t xml:space="preserve">In the </w:t>
      </w:r>
      <w:r w:rsidR="00007E3F">
        <w:rPr>
          <w:rFonts w:eastAsia="Calibri" w:cstheme="minorHAnsi"/>
        </w:rPr>
        <w:t xml:space="preserve">conditional use review </w:t>
      </w:r>
      <w:r w:rsidR="00007E3F" w:rsidRPr="005C2FB6">
        <w:rPr>
          <w:rFonts w:eastAsia="Calibri" w:cstheme="minorHAnsi"/>
        </w:rPr>
        <w:t>criterion of: “</w:t>
      </w:r>
      <w:r w:rsidR="00007E3F" w:rsidRPr="005C2FB6">
        <w:rPr>
          <w:rFonts w:eastAsia="Calibri" w:cstheme="minorHAnsi"/>
          <w:i/>
          <w:iCs/>
        </w:rPr>
        <w:t>The proposed use does not impose an undue burden on any public improvements, facilities, utilities, or services available to the area”</w:t>
      </w:r>
      <w:r w:rsidR="00007E3F">
        <w:rPr>
          <w:rFonts w:eastAsia="Calibri" w:cstheme="minorHAnsi"/>
        </w:rPr>
        <w:t xml:space="preserve"> [BCC 53.215(2)]</w:t>
      </w:r>
      <w:r w:rsidR="00007E3F" w:rsidRPr="005C2FB6">
        <w:rPr>
          <w:rFonts w:eastAsia="Calibri" w:cstheme="minorHAnsi"/>
          <w:i/>
          <w:iCs/>
        </w:rPr>
        <w:t xml:space="preserve">, </w:t>
      </w:r>
      <w:r w:rsidR="00007E3F" w:rsidRPr="005C2FB6">
        <w:rPr>
          <w:rFonts w:eastAsia="Calibri" w:cstheme="minorHAnsi"/>
        </w:rPr>
        <w:t xml:space="preserve">a burden on public infrastructure and service is clearly “undue” if it overloads the system or causes significant degradation in terms of quality, effectiveness or timeliness of infrastructure or service.  Lesser burdens may also be “undue” if the effect </w:t>
      </w:r>
      <w:r w:rsidR="00DC21D4" w:rsidRPr="00DC21D4">
        <w:rPr>
          <w:rFonts w:eastAsia="Calibri" w:cstheme="minorHAnsi"/>
        </w:rPr>
        <w:t>jeopardizes people's health, safety</w:t>
      </w:r>
      <w:r w:rsidR="008A56B0">
        <w:rPr>
          <w:rFonts w:eastAsia="Calibri" w:cstheme="minorHAnsi"/>
        </w:rPr>
        <w:t>,</w:t>
      </w:r>
      <w:r w:rsidR="00DC21D4" w:rsidRPr="00DC21D4">
        <w:rPr>
          <w:rFonts w:eastAsia="Calibri" w:cstheme="minorHAnsi"/>
        </w:rPr>
        <w:t xml:space="preserve"> or welfare</w:t>
      </w:r>
      <w:r w:rsidR="00007E3F" w:rsidRPr="005C2FB6">
        <w:rPr>
          <w:rFonts w:eastAsia="Calibri" w:cstheme="minorHAnsi"/>
        </w:rPr>
        <w:t xml:space="preserve">.  Burdens that have typically not been considered “undue” include those that can be mitigated through planned improvements that are incremental service additions consistent with that generated by other uses in the area or that fall below an established threshold (such as road classification standards).  </w:t>
      </w:r>
      <w:r w:rsidR="00007E3F">
        <w:rPr>
          <w:rFonts w:eastAsia="Calibri" w:cstheme="minorHAnsi"/>
        </w:rPr>
        <w:t>Again, as noted in LLU F-7 above, so long as the interpretation is plausible, the decision makers have wide discretion in interpreting the term “undue burden</w:t>
      </w:r>
      <w:r w:rsidR="00DC21D4">
        <w:rPr>
          <w:rFonts w:eastAsia="Calibri" w:cstheme="minorHAnsi"/>
        </w:rPr>
        <w:t>.”</w:t>
      </w:r>
      <w:r w:rsidR="00007E3F">
        <w:rPr>
          <w:rFonts w:eastAsia="Calibri" w:cstheme="minorHAnsi"/>
        </w:rPr>
        <w:t xml:space="preserve"> </w:t>
      </w:r>
    </w:p>
    <w:p w14:paraId="27683893" w14:textId="5843FA99" w:rsidR="00007E3F" w:rsidRPr="00E73BE2" w:rsidRDefault="00000000" w:rsidP="00007E3F">
      <w:pPr>
        <w:pStyle w:val="NoSpacing"/>
        <w:spacing w:after="240"/>
        <w:ind w:left="1260" w:hanging="1260"/>
      </w:pPr>
      <w:hyperlink w:anchor="LLU_F_12" w:history="1">
        <w:r w:rsidR="00007E3F" w:rsidRPr="00D04632">
          <w:rPr>
            <w:rStyle w:val="Hyperlink"/>
            <w:b/>
            <w:bCs/>
          </w:rPr>
          <w:t>LLU F-12.</w:t>
        </w:r>
      </w:hyperlink>
      <w:r w:rsidR="00007E3F" w:rsidRPr="00585B7E">
        <w:tab/>
      </w:r>
      <w:r w:rsidR="00007E3F">
        <w:t xml:space="preserve">With regard to the </w:t>
      </w:r>
      <w:r w:rsidR="00007E3F">
        <w:rPr>
          <w:rFonts w:eastAsia="Calibri" w:cstheme="minorHAnsi"/>
        </w:rPr>
        <w:t xml:space="preserve">conditional use review </w:t>
      </w:r>
      <w:r w:rsidR="00007E3F" w:rsidRPr="005C2FB6">
        <w:rPr>
          <w:rFonts w:eastAsia="Calibri" w:cstheme="minorHAnsi"/>
        </w:rPr>
        <w:t>criterion of</w:t>
      </w:r>
      <w:r w:rsidR="00007E3F">
        <w:t xml:space="preserve"> BCC 53.215(3) </w:t>
      </w:r>
      <w:r w:rsidR="00007E3F" w:rsidRPr="0030094A">
        <w:rPr>
          <w:i/>
          <w:iCs/>
        </w:rPr>
        <w:t>[“The proposed use complies with any additional criteria which may be required for the specific use by this code.”</w:t>
      </w:r>
      <w:r w:rsidR="00007E3F">
        <w:t>], if t</w:t>
      </w:r>
      <w:r w:rsidR="00007E3F" w:rsidRPr="00E73BE2">
        <w:t>he</w:t>
      </w:r>
      <w:r w:rsidR="00007E3F">
        <w:t xml:space="preserve"> county has adopted additional code criteria that apply to a proposed use,</w:t>
      </w:r>
      <w:r w:rsidR="00007E3F" w:rsidRPr="00E73BE2">
        <w:t xml:space="preserve"> then those code provisions would apply. This </w:t>
      </w:r>
      <w:r w:rsidR="00007E3F">
        <w:t>does not allow the county to</w:t>
      </w:r>
      <w:r w:rsidR="00007E3F" w:rsidRPr="00E73BE2">
        <w:t xml:space="preserve"> apply unadopted criteria that are not in the code at the time of application.</w:t>
      </w:r>
      <w:r w:rsidR="00007E3F">
        <w:t xml:space="preserve">  In </w:t>
      </w:r>
      <w:r w:rsidR="00DC21D4">
        <w:t>applying</w:t>
      </w:r>
      <w:r w:rsidR="00007E3F">
        <w:t xml:space="preserve"> for expansion in the Landfill Site zone, the BCC Chapter 77 does not adopt any additional criteria</w:t>
      </w:r>
      <w:r w:rsidR="00B0195A">
        <w:t>; therefore</w:t>
      </w:r>
      <w:r w:rsidR="00007E3F">
        <w:t xml:space="preserve">, no additional criteria apply.  </w:t>
      </w:r>
    </w:p>
    <w:p w14:paraId="644F2768" w14:textId="259D42A7" w:rsidR="00007E3F" w:rsidRPr="005C2FB6" w:rsidRDefault="00000000" w:rsidP="00007E3F">
      <w:pPr>
        <w:pStyle w:val="NoSpacing"/>
        <w:spacing w:after="240"/>
        <w:ind w:left="1260" w:hanging="1260"/>
      </w:pPr>
      <w:hyperlink w:anchor="LLU_F_13" w:history="1">
        <w:r w:rsidR="00007E3F" w:rsidRPr="00D04632">
          <w:rPr>
            <w:rStyle w:val="Hyperlink"/>
            <w:b/>
          </w:rPr>
          <w:t>LLU F-13.</w:t>
        </w:r>
      </w:hyperlink>
      <w:r w:rsidR="00007E3F" w:rsidRPr="00585B7E">
        <w:tab/>
      </w:r>
      <w:r w:rsidR="00007E3F" w:rsidRPr="005C2FB6">
        <w:t xml:space="preserve">BCC 77.305 </w:t>
      </w:r>
      <w:r w:rsidR="00007E3F" w:rsidRPr="005C2FB6">
        <w:rPr>
          <w:rFonts w:eastAsia="Calibri" w:cstheme="minorHAnsi"/>
        </w:rPr>
        <w:t>directs the Solid Waste Advisory Council (SWAC) to review and make recommendations on a landfill-expansion CUP; however, the code does not specify what criteria or considerations that recommendation should be based on.  SWAC’s overall role</w:t>
      </w:r>
      <w:r w:rsidR="004D6E8A">
        <w:rPr>
          <w:rFonts w:eastAsia="Calibri" w:cstheme="minorHAnsi"/>
        </w:rPr>
        <w:t>,</w:t>
      </w:r>
      <w:r w:rsidR="00007E3F" w:rsidRPr="005C2FB6">
        <w:rPr>
          <w:rFonts w:eastAsia="Calibri" w:cstheme="minorHAnsi"/>
        </w:rPr>
        <w:t xml:space="preserve"> as articulated in its bylaws: </w:t>
      </w:r>
      <w:r w:rsidR="00007E3F" w:rsidRPr="005C2FB6">
        <w:rPr>
          <w:rFonts w:eastAsia="Calibri" w:cs="Calibri"/>
        </w:rPr>
        <w:t xml:space="preserve">“assist the Board of Commissioners (Board) in Planning and </w:t>
      </w:r>
      <w:r w:rsidR="00DC21D4">
        <w:rPr>
          <w:rFonts w:eastAsia="Calibri" w:cs="Calibri"/>
        </w:rPr>
        <w:t>implementing</w:t>
      </w:r>
      <w:r w:rsidR="00007E3F" w:rsidRPr="005C2FB6">
        <w:rPr>
          <w:rFonts w:eastAsia="Calibri" w:cs="Calibri"/>
        </w:rPr>
        <w:t xml:space="preserve"> solid waste management, pursuant to BCC Chapter 23, the Benton County Solid Waste Management Ordinance.”  As such, SWAC should review the proposal and provide input from a solid waste management perspective.  The Planning Commission’s role is to review the proposal from a land use perspective relative to specific criteria listed in the Development Code and to make a decision.  </w:t>
      </w:r>
    </w:p>
    <w:p w14:paraId="4BA7AFF9" w14:textId="4091AC9B" w:rsidR="00007E3F" w:rsidRPr="005C2FB6" w:rsidRDefault="00000000" w:rsidP="00007E3F">
      <w:pPr>
        <w:pStyle w:val="NoSpacing"/>
        <w:spacing w:after="240"/>
        <w:ind w:left="1260" w:hanging="1260"/>
      </w:pPr>
      <w:hyperlink w:anchor="LLU_F_14" w:history="1">
        <w:r w:rsidR="00007E3F" w:rsidRPr="00D04632">
          <w:rPr>
            <w:rStyle w:val="Hyperlink"/>
            <w:b/>
          </w:rPr>
          <w:t>LLU F-14.</w:t>
        </w:r>
      </w:hyperlink>
      <w:r w:rsidR="00007E3F" w:rsidRPr="00585B7E">
        <w:tab/>
      </w:r>
      <w:r w:rsidR="00007E3F" w:rsidRPr="005C2FB6">
        <w:t xml:space="preserve">Pursuant to BCC 77.310(1)(e), to what extent may the Planning Official require additional information from an applicant for a Landfill Site Zone Conditional Use Permit?  Only “other information” that relates to the approval criteria for a </w:t>
      </w:r>
      <w:r w:rsidR="00007E3F" w:rsidRPr="005C2FB6">
        <w:lastRenderedPageBreak/>
        <w:t>conditional use permit may be required under BCC 77.310(1)(e), and the applicant may choose to provide some, all</w:t>
      </w:r>
      <w:r w:rsidR="004D6E8A">
        <w:t>,</w:t>
      </w:r>
      <w:r w:rsidR="00007E3F" w:rsidRPr="005C2FB6">
        <w:t xml:space="preserve"> or none of the requested information.  The land use decision must be based on </w:t>
      </w:r>
      <w:r w:rsidR="004D6E8A">
        <w:t>demonstrating</w:t>
      </w:r>
      <w:r w:rsidR="00007E3F" w:rsidRPr="005C2FB6">
        <w:t xml:space="preserve"> compliance with the code criteria, not on whether the applicant provided </w:t>
      </w:r>
      <w:r w:rsidR="004D6E8A">
        <w:t xml:space="preserve">the </w:t>
      </w:r>
      <w:r w:rsidR="00007E3F" w:rsidRPr="005C2FB6">
        <w:t xml:space="preserve">requested information.  </w:t>
      </w:r>
    </w:p>
    <w:p w14:paraId="7B16D293" w14:textId="77777777" w:rsidR="00007E3F" w:rsidRPr="003778FB" w:rsidRDefault="00000000" w:rsidP="00007E3F">
      <w:pPr>
        <w:pStyle w:val="NoSpacing"/>
        <w:spacing w:after="240"/>
        <w:ind w:left="1260" w:hanging="1260"/>
        <w:rPr>
          <w:rStyle w:val="Hyperlink"/>
        </w:rPr>
      </w:pPr>
      <w:hyperlink w:anchor="LLU_F_15" w:history="1">
        <w:r w:rsidR="00007E3F" w:rsidRPr="00D04632">
          <w:rPr>
            <w:rStyle w:val="Hyperlink"/>
            <w:b/>
          </w:rPr>
          <w:t>LLU F-15.</w:t>
        </w:r>
      </w:hyperlink>
      <w:r w:rsidR="00007E3F" w:rsidRPr="00585B7E">
        <w:tab/>
      </w:r>
      <w:r w:rsidR="00007E3F" w:rsidRPr="005C2FB6">
        <w:rPr>
          <w:rFonts w:eastAsia="Calibri" w:cs="Calibri"/>
        </w:rPr>
        <w:t xml:space="preserve">Statements made by the applicant do not become conditions of approval unless those statements are specifically included or incorporated, directly or by reference, into the final decision.  </w:t>
      </w:r>
    </w:p>
    <w:p w14:paraId="3599398E" w14:textId="77777777" w:rsidR="00007E3F" w:rsidRDefault="00000000" w:rsidP="00007E3F">
      <w:pPr>
        <w:pStyle w:val="NoSpacing"/>
        <w:spacing w:after="240"/>
        <w:ind w:left="1260" w:hanging="1260"/>
        <w:rPr>
          <w:rFonts w:eastAsia="Calibri" w:cs="Calibri"/>
        </w:rPr>
      </w:pPr>
      <w:hyperlink w:anchor="LLU_F_16" w:history="1">
        <w:r w:rsidR="00007E3F" w:rsidRPr="00D04632">
          <w:rPr>
            <w:rStyle w:val="Hyperlink"/>
            <w:b/>
          </w:rPr>
          <w:t>LLU F-16.</w:t>
        </w:r>
      </w:hyperlink>
      <w:r w:rsidR="00007E3F" w:rsidRPr="00585B7E">
        <w:tab/>
      </w:r>
      <w:r w:rsidR="00007E3F" w:rsidRPr="003778FB">
        <w:rPr>
          <w:rFonts w:eastAsia="Calibri" w:cs="Calibri"/>
        </w:rPr>
        <w:t>How does the 2002 Memorandum of Understanding</w:t>
      </w:r>
      <w:r w:rsidR="00007E3F">
        <w:rPr>
          <w:rFonts w:eastAsia="Calibri" w:cs="Calibri"/>
        </w:rPr>
        <w:t xml:space="preserve"> (MOU)</w:t>
      </w:r>
      <w:r w:rsidR="00007E3F" w:rsidRPr="003778FB">
        <w:rPr>
          <w:rFonts w:eastAsia="Calibri" w:cs="Calibri"/>
        </w:rPr>
        <w:t xml:space="preserve"> fit into the Workgroup considerations?  The 2002 </w:t>
      </w:r>
      <w:r w:rsidR="00007E3F">
        <w:rPr>
          <w:rFonts w:eastAsia="Calibri" w:cs="Calibri"/>
        </w:rPr>
        <w:t>MOU</w:t>
      </w:r>
      <w:r w:rsidR="00007E3F" w:rsidRPr="003778FB">
        <w:rPr>
          <w:rFonts w:eastAsia="Calibri" w:cs="Calibri"/>
        </w:rPr>
        <w:t xml:space="preserve"> clarifies authorization for landfill activities within the Landfill Zone and establishes a point in time at which the landfill was operating in compliance with state and local requirements.</w:t>
      </w:r>
      <w:r w:rsidR="00007E3F">
        <w:rPr>
          <w:rFonts w:eastAsia="Calibri" w:cs="Calibri"/>
        </w:rPr>
        <w:t xml:space="preserve"> </w:t>
      </w:r>
    </w:p>
    <w:p w14:paraId="5241C2A5" w14:textId="77777777" w:rsidR="00007E3F" w:rsidRDefault="00007E3F" w:rsidP="00007E3F">
      <w:pPr>
        <w:pStyle w:val="NoSpacing"/>
        <w:numPr>
          <w:ilvl w:val="0"/>
          <w:numId w:val="4"/>
        </w:numPr>
        <w:spacing w:after="240"/>
        <w:rPr>
          <w:rFonts w:eastAsia="Calibri" w:cs="Calibri"/>
        </w:rPr>
      </w:pPr>
      <w:r>
        <w:rPr>
          <w:rFonts w:eastAsia="Calibri" w:cs="Calibri"/>
        </w:rPr>
        <w:t xml:space="preserve">The MOU does not address whether the County’s determination of “compliance with local requirements” includes compliance with all conditions of past land use approvals. </w:t>
      </w:r>
    </w:p>
    <w:p w14:paraId="3FD50769" w14:textId="0E940085" w:rsidR="00007E3F" w:rsidRDefault="00007E3F" w:rsidP="00007E3F">
      <w:pPr>
        <w:pStyle w:val="NoSpacing"/>
        <w:numPr>
          <w:ilvl w:val="0"/>
          <w:numId w:val="4"/>
        </w:numPr>
        <w:spacing w:after="240"/>
        <w:rPr>
          <w:rFonts w:eastAsia="Calibri" w:cs="Calibri"/>
        </w:rPr>
      </w:pPr>
      <w:r>
        <w:rPr>
          <w:rFonts w:eastAsia="Calibri" w:cs="Calibri"/>
        </w:rPr>
        <w:t>The MOU indicates that, as of 11/5/2002, there were no known land use ordinance violations involving the landfill.  The MOU does not describe</w:t>
      </w:r>
      <w:r w:rsidR="004D6E8A">
        <w:rPr>
          <w:rFonts w:eastAsia="Calibri" w:cs="Calibri"/>
        </w:rPr>
        <w:t xml:space="preserve"> </w:t>
      </w:r>
      <w:r>
        <w:rPr>
          <w:rFonts w:eastAsia="Calibri" w:cs="Calibri"/>
        </w:rPr>
        <w:t xml:space="preserve">the extent to which Benton County investigated the compliance status </w:t>
      </w:r>
      <w:r w:rsidR="004D6E8A">
        <w:rPr>
          <w:rFonts w:eastAsia="Calibri" w:cs="Calibri"/>
        </w:rPr>
        <w:t xml:space="preserve">of </w:t>
      </w:r>
      <w:r>
        <w:rPr>
          <w:rFonts w:eastAsia="Calibri" w:cs="Calibri"/>
        </w:rPr>
        <w:t xml:space="preserve">any conditions of past land use approvals in preparing the MOU. </w:t>
      </w:r>
    </w:p>
    <w:p w14:paraId="6A8A2E52" w14:textId="77777777" w:rsidR="00007E3F" w:rsidRDefault="00007E3F" w:rsidP="00007E3F">
      <w:pPr>
        <w:pStyle w:val="NoSpacing"/>
        <w:numPr>
          <w:ilvl w:val="0"/>
          <w:numId w:val="4"/>
        </w:numPr>
        <w:spacing w:after="240"/>
        <w:rPr>
          <w:rFonts w:eastAsia="Calibri" w:cs="Calibri"/>
        </w:rPr>
      </w:pPr>
      <w:r>
        <w:rPr>
          <w:rFonts w:eastAsia="Calibri" w:cs="Calibri"/>
        </w:rPr>
        <w:t xml:space="preserve">The MOU did not negate or supersede conditions of past land use approvals. </w:t>
      </w:r>
    </w:p>
    <w:p w14:paraId="521FDE33" w14:textId="5676CB88" w:rsidR="00007E3F" w:rsidRPr="00681041" w:rsidRDefault="00000000" w:rsidP="00007E3F">
      <w:pPr>
        <w:pStyle w:val="NoSpacing"/>
        <w:spacing w:after="120"/>
        <w:ind w:left="1170" w:hanging="1170"/>
        <w:rPr>
          <w:rFonts w:eastAsia="Calibri" w:cs="Calibri"/>
        </w:rPr>
      </w:pPr>
      <w:hyperlink w:anchor="LLU_F_17" w:history="1">
        <w:r w:rsidR="00007E3F" w:rsidRPr="00063156">
          <w:rPr>
            <w:rStyle w:val="Hyperlink"/>
            <w:b/>
            <w:bCs/>
          </w:rPr>
          <w:t>LLU F-17</w:t>
        </w:r>
      </w:hyperlink>
      <w:r w:rsidR="00007E3F" w:rsidRPr="00941D63">
        <w:rPr>
          <w:rStyle w:val="Hyperlink"/>
          <w:u w:val="none"/>
        </w:rPr>
        <w:tab/>
      </w:r>
      <w:r w:rsidR="00007E3F" w:rsidRPr="00681041">
        <w:rPr>
          <w:rFonts w:eastAsia="Calibri" w:cs="Calibri"/>
        </w:rPr>
        <w:t xml:space="preserve">Is there </w:t>
      </w:r>
      <w:r w:rsidR="004D6E8A">
        <w:rPr>
          <w:rFonts w:eastAsia="Calibri" w:cs="Calibri"/>
        </w:rPr>
        <w:t xml:space="preserve">an </w:t>
      </w:r>
      <w:r w:rsidR="00007E3F" w:rsidRPr="00681041">
        <w:rPr>
          <w:rFonts w:eastAsia="Calibri" w:cs="Calibri"/>
        </w:rPr>
        <w:t xml:space="preserve">opportunity for public input to </w:t>
      </w:r>
      <w:r w:rsidR="004D6E8A">
        <w:rPr>
          <w:rFonts w:eastAsia="Calibri" w:cs="Calibri"/>
        </w:rPr>
        <w:t>determine</w:t>
      </w:r>
      <w:r w:rsidR="00007E3F" w:rsidRPr="00681041">
        <w:rPr>
          <w:rFonts w:eastAsia="Calibri" w:cs="Calibri"/>
        </w:rPr>
        <w:t xml:space="preserve"> whether an application is complete?  The public may submit comments on the completeness of an application. However, the completeness process is not a review of the </w:t>
      </w:r>
      <w:r w:rsidR="004D6E8A">
        <w:rPr>
          <w:rFonts w:eastAsia="Calibri" w:cs="Calibri"/>
        </w:rPr>
        <w:t>application’s merits</w:t>
      </w:r>
      <w:r w:rsidR="00007E3F" w:rsidRPr="00681041">
        <w:rPr>
          <w:rFonts w:eastAsia="Calibri" w:cs="Calibri"/>
        </w:rPr>
        <w:t xml:space="preserve">; only whether sufficient information has been submitted </w:t>
      </w:r>
      <w:r w:rsidR="004D6E8A">
        <w:rPr>
          <w:rFonts w:eastAsia="Calibri" w:cs="Calibri"/>
        </w:rPr>
        <w:t>to</w:t>
      </w:r>
      <w:r w:rsidR="00007E3F" w:rsidRPr="00681041">
        <w:rPr>
          <w:rFonts w:eastAsia="Calibri" w:cs="Calibri"/>
        </w:rPr>
        <w:t xml:space="preserve"> the </w:t>
      </w:r>
      <w:r w:rsidR="000573EC">
        <w:rPr>
          <w:rFonts w:eastAsia="Calibri" w:cs="Calibri"/>
        </w:rPr>
        <w:t>application’s merits</w:t>
      </w:r>
      <w:r w:rsidR="00007E3F" w:rsidRPr="00681041">
        <w:rPr>
          <w:rFonts w:eastAsia="Calibri" w:cs="Calibri"/>
        </w:rPr>
        <w:t xml:space="preserve"> can be evaluated through the public hearing process. And there are no statutory or code requirements for incorporating public input on the county’s determination of whether an application is complete.</w:t>
      </w:r>
    </w:p>
    <w:p w14:paraId="2B9C1F46" w14:textId="46E8744F" w:rsidR="00007E3F" w:rsidRPr="00681041" w:rsidRDefault="00000000" w:rsidP="00007E3F">
      <w:pPr>
        <w:pStyle w:val="NoSpacing"/>
        <w:spacing w:after="120"/>
        <w:ind w:left="1170" w:hanging="1170"/>
        <w:rPr>
          <w:rFonts w:eastAsia="Calibri" w:cs="Calibri"/>
        </w:rPr>
      </w:pPr>
      <w:hyperlink w:anchor="LLU_F_18" w:history="1">
        <w:r w:rsidR="00007E3F" w:rsidRPr="003F0996">
          <w:rPr>
            <w:rStyle w:val="Hyperlink"/>
            <w:b/>
            <w:bCs/>
          </w:rPr>
          <w:t>LLU F-18</w:t>
        </w:r>
      </w:hyperlink>
      <w:r w:rsidR="00007E3F" w:rsidRPr="00941D63">
        <w:rPr>
          <w:rStyle w:val="Hyperlink"/>
          <w:u w:val="none"/>
        </w:rPr>
        <w:tab/>
      </w:r>
      <w:r w:rsidR="00007E3F" w:rsidRPr="00681041">
        <w:rPr>
          <w:rFonts w:eastAsia="Calibri" w:cs="Calibri"/>
        </w:rPr>
        <w:t xml:space="preserve">Section 2 of the June 7, 2022, collection franchise agreement between Benton County and Allied Waste Services of Corvallis (“Republic Services”) contains a limited reopener provision. Contract negotiations are not conducted in public. With that said, a process could be designed to allow public input, </w:t>
      </w:r>
      <w:r w:rsidR="005949F1" w:rsidRPr="00681041">
        <w:rPr>
          <w:rFonts w:eastAsia="Calibri" w:cs="Calibri"/>
        </w:rPr>
        <w:t>comment,</w:t>
      </w:r>
      <w:r w:rsidR="00007E3F" w:rsidRPr="00681041">
        <w:rPr>
          <w:rFonts w:eastAsia="Calibri" w:cs="Calibri"/>
        </w:rPr>
        <w:t xml:space="preserve"> and feedback on any provisions subject to Section 2 that may be negotiated between the parties to the agreement. The renegotiated collection franchise agreement must be agreed upon, in its entirety, by both Benton County and Republic Services.</w:t>
      </w:r>
    </w:p>
    <w:p w14:paraId="1F68849E" w14:textId="77777777" w:rsidR="00007E3F" w:rsidRPr="009B6FC2" w:rsidRDefault="00007E3F" w:rsidP="00007E3F">
      <w:pPr>
        <w:pStyle w:val="NoSpacing"/>
        <w:spacing w:after="120"/>
        <w:ind w:left="1267" w:hanging="1267"/>
      </w:pPr>
      <w:r w:rsidRPr="006835DD">
        <w:rPr>
          <w:rStyle w:val="Hyperlink"/>
          <w:b/>
          <w:bCs/>
        </w:rPr>
        <w:t>LLU F-19</w:t>
      </w:r>
      <w:r w:rsidRPr="006835DD">
        <w:tab/>
      </w:r>
      <w:r w:rsidRPr="009B6FC2">
        <w:t xml:space="preserve">What options does the Planning Commission have if they determine that DEQ regulation of a particular parameter is inadequate or likely to be inadequate? </w:t>
      </w:r>
    </w:p>
    <w:p w14:paraId="07B4601E" w14:textId="053D9B8F" w:rsidR="00007E3F" w:rsidRPr="009B6FC2" w:rsidRDefault="00007E3F" w:rsidP="00007E3F">
      <w:pPr>
        <w:pStyle w:val="NoSpacing"/>
        <w:spacing w:after="240"/>
        <w:ind w:left="1260"/>
      </w:pPr>
      <w:r w:rsidRPr="009B6FC2">
        <w:t xml:space="preserve">The County could not determine that DEQ regulation of a particular environmental parameter is inadequate to protect public health and deny the </w:t>
      </w:r>
      <w:r w:rsidRPr="009B6FC2">
        <w:lastRenderedPageBreak/>
        <w:t xml:space="preserve">application on those grounds. The County also </w:t>
      </w:r>
      <w:r w:rsidR="002549D2">
        <w:t>has no</w:t>
      </w:r>
      <w:r w:rsidR="000573EC">
        <w:t xml:space="preserve"> </w:t>
      </w:r>
      <w:r w:rsidRPr="009B6FC2">
        <w:t xml:space="preserve">authority to interpret, apply or enforce DEQ regulations. </w:t>
      </w:r>
      <w:r w:rsidR="006E546C">
        <w:t xml:space="preserve">(Except for regulatory programs that </w:t>
      </w:r>
      <w:r w:rsidR="000573EC">
        <w:t>DEQ formally delegates</w:t>
      </w:r>
      <w:r w:rsidR="006E546C">
        <w:t xml:space="preserve"> to a local government, such as with on-site sewage disposal regulation.) </w:t>
      </w:r>
      <w:r w:rsidRPr="009B6FC2">
        <w:t xml:space="preserve">Additionally, the County cannot assume that an activity will result in </w:t>
      </w:r>
      <w:r w:rsidR="000573EC">
        <w:t xml:space="preserve">a </w:t>
      </w:r>
      <w:r w:rsidRPr="009B6FC2">
        <w:t xml:space="preserve">violation of DEQ parameters when the activity hasn’t happened.  </w:t>
      </w:r>
    </w:p>
    <w:p w14:paraId="2DD813A6" w14:textId="278574D9" w:rsidR="00007E3F" w:rsidRPr="009B6FC2" w:rsidRDefault="00007E3F" w:rsidP="00007E3F">
      <w:pPr>
        <w:pStyle w:val="NoSpacing"/>
        <w:spacing w:after="240"/>
        <w:ind w:left="1260"/>
      </w:pPr>
      <w:r w:rsidRPr="009B6FC2">
        <w:t xml:space="preserve">The County could potentially determine that DEQ’s regulation of a particular parameter is inadequate to prevent the proposed land use from seriously interfering with uses on surrounding properties.  However, the County </w:t>
      </w:r>
      <w:r w:rsidR="000573EC">
        <w:t>must</w:t>
      </w:r>
      <w:r w:rsidRPr="009B6FC2">
        <w:t xml:space="preserve"> articulate why DEQ’s requirements are insufficient</w:t>
      </w:r>
      <w:r w:rsidR="002549D2">
        <w:t>,</w:t>
      </w:r>
      <w:r w:rsidR="000573EC">
        <w:t xml:space="preserve"> and </w:t>
      </w:r>
      <w:r w:rsidRPr="009B6FC2">
        <w:t xml:space="preserve">the County typically lacks </w:t>
      </w:r>
      <w:r w:rsidR="000573EC">
        <w:t xml:space="preserve">the </w:t>
      </w:r>
      <w:r w:rsidRPr="009B6FC2">
        <w:t xml:space="preserve">expertise or personnel to determine whether a particular environmental parameter is being exceeded.  Alternatively, the County could require that specified mitigations be </w:t>
      </w:r>
      <w:r w:rsidR="002549D2">
        <w:t>implemented</w:t>
      </w:r>
      <w:r w:rsidRPr="009B6FC2">
        <w:t>, which is simpler to monitor than the level of certain emissions.</w:t>
      </w:r>
    </w:p>
    <w:p w14:paraId="55769C59" w14:textId="09FCFF05" w:rsidR="00007E3F" w:rsidRPr="009B6FC2" w:rsidRDefault="00007E3F" w:rsidP="00007E3F">
      <w:pPr>
        <w:pStyle w:val="NoSpacing"/>
        <w:spacing w:after="120"/>
        <w:ind w:left="1267" w:hanging="1267"/>
        <w:rPr>
          <w:rStyle w:val="Hyperlink"/>
        </w:rPr>
      </w:pPr>
      <w:r w:rsidRPr="00352FF3">
        <w:rPr>
          <w:rStyle w:val="Hyperlink"/>
          <w:b/>
          <w:bCs/>
        </w:rPr>
        <w:t>LLU F-20</w:t>
      </w:r>
      <w:r w:rsidRPr="00941D63">
        <w:rPr>
          <w:rStyle w:val="Hyperlink"/>
          <w:b/>
          <w:bCs/>
          <w:u w:val="none"/>
        </w:rPr>
        <w:tab/>
      </w:r>
      <w:r w:rsidRPr="002C0999">
        <w:rPr>
          <w:rStyle w:val="Hyperlink"/>
          <w:color w:val="auto"/>
          <w:u w:val="none"/>
        </w:rPr>
        <w:t>Could a new CUP approval be conditioned on cleaning up noncompliance with existing operations?</w:t>
      </w:r>
      <w:r w:rsidRPr="00941D63">
        <w:rPr>
          <w:rStyle w:val="Hyperlink"/>
          <w:color w:val="auto"/>
        </w:rPr>
        <w:t xml:space="preserve"> </w:t>
      </w:r>
    </w:p>
    <w:p w14:paraId="4258E264" w14:textId="77777777" w:rsidR="00007E3F" w:rsidRPr="009B6FC2" w:rsidRDefault="00007E3F" w:rsidP="00007E3F">
      <w:pPr>
        <w:pStyle w:val="NoSpacing"/>
        <w:spacing w:after="240"/>
        <w:ind w:left="1260"/>
      </w:pPr>
      <w:r w:rsidRPr="009B6FC2">
        <w:t>A new CUP cannot require as a condition of approval that an existing operation on a different property be modified or that noncompliance be rectified.  Enforcement procedures (see Chapter 31 of the Benton County Code) would have to address the noncompliance.</w:t>
      </w:r>
    </w:p>
    <w:p w14:paraId="66F1EAEC" w14:textId="0BCC0099" w:rsidR="00007E3F" w:rsidRPr="009B6FC2" w:rsidRDefault="00007E3F" w:rsidP="00007E3F">
      <w:pPr>
        <w:pStyle w:val="NoSpacing"/>
        <w:spacing w:after="120"/>
        <w:ind w:left="1267" w:hanging="1267"/>
      </w:pPr>
      <w:r w:rsidRPr="00352FF3">
        <w:rPr>
          <w:rStyle w:val="Hyperlink"/>
          <w:b/>
          <w:bCs/>
        </w:rPr>
        <w:t>LLU F-2</w:t>
      </w:r>
      <w:r w:rsidR="00502F9C">
        <w:rPr>
          <w:rStyle w:val="Hyperlink"/>
          <w:b/>
          <w:bCs/>
        </w:rPr>
        <w:t>1</w:t>
      </w:r>
      <w:r w:rsidRPr="00941D63">
        <w:rPr>
          <w:rStyle w:val="Hyperlink"/>
          <w:b/>
          <w:bCs/>
          <w:u w:val="none"/>
        </w:rPr>
        <w:tab/>
      </w:r>
      <w:r w:rsidRPr="009B6FC2">
        <w:t xml:space="preserve">Is compliance/noncompliance with conditions of past land use approvals a topic that can be considered in any way during a new land use application?   </w:t>
      </w:r>
    </w:p>
    <w:p w14:paraId="27EDE94A" w14:textId="107BECBE" w:rsidR="00007E3F" w:rsidRPr="009B6FC2" w:rsidRDefault="00007E3F" w:rsidP="00007E3F">
      <w:pPr>
        <w:pStyle w:val="NoSpacing"/>
        <w:spacing w:after="240"/>
        <w:ind w:left="1260"/>
      </w:pPr>
      <w:r w:rsidRPr="009B6FC2">
        <w:t xml:space="preserve">Generally, the new proposal must be evaluated on its own merits relative to the approval criteria.  However, the </w:t>
      </w:r>
      <w:r w:rsidR="002549D2">
        <w:t>non-compliance</w:t>
      </w:r>
      <w:r w:rsidRPr="009B6FC2">
        <w:t xml:space="preserve"> of an existing land use condition could provide information that the Planning Commission considers in crafting a condition on a new application.  If an application is made to expand an existing land use that is currently out of compliance with a condition of past approval and that noncompliance is causing issues for surrounding land uses, noncompliance of the original land use is not in itself grounds to deny the new application.  However, the decision-maker could potentially look at the existing noncompliance, consider whether that noncompliance is causing the existing land use to “seriously interfere” with uses on surrounding properties, and consider that as evidence toward determining whether</w:t>
      </w:r>
      <w:r w:rsidR="00765448">
        <w:t xml:space="preserve"> </w:t>
      </w:r>
      <w:r w:rsidRPr="009B6FC2">
        <w:t xml:space="preserve">the proposed land use complies with the review criteria because the same land use in a similar location was seriously interfering with surrounding uses even though it was subject to conditions of approval. Past conditions </w:t>
      </w:r>
      <w:r w:rsidR="00765448">
        <w:t>superseded by subsequent decisions</w:t>
      </w:r>
      <w:r w:rsidRPr="009B6FC2">
        <w:t xml:space="preserve"> or changes in the law could not form a basis for such analysis.</w:t>
      </w:r>
      <w:r w:rsidR="006E546C">
        <w:t xml:space="preserve">  </w:t>
      </w:r>
      <w:r w:rsidRPr="009B6FC2">
        <w:t>[</w:t>
      </w:r>
      <w:r w:rsidR="006E546C">
        <w:t xml:space="preserve">To Do: </w:t>
      </w:r>
      <w:r>
        <w:t xml:space="preserve">Need to address </w:t>
      </w:r>
      <w:r w:rsidR="00765448">
        <w:t xml:space="preserve">the </w:t>
      </w:r>
      <w:r>
        <w:t>relationship between this finding and R-7.  Also, f</w:t>
      </w:r>
      <w:r w:rsidRPr="009B6FC2">
        <w:t>inding language needs fine-tuning.]</w:t>
      </w:r>
    </w:p>
    <w:p w14:paraId="6D1B963E" w14:textId="77777777" w:rsidR="00007E3F" w:rsidRPr="004A0FB3" w:rsidRDefault="00007E3F" w:rsidP="00007E3F">
      <w:pPr>
        <w:pStyle w:val="NoSpacing"/>
        <w:spacing w:after="240"/>
        <w:ind w:left="1260" w:hanging="1260"/>
        <w:rPr>
          <w:rFonts w:eastAsia="Calibri" w:cs="Calibri"/>
          <w:color w:val="FF0000"/>
          <w:u w:val="single"/>
        </w:rPr>
      </w:pPr>
    </w:p>
    <w:p w14:paraId="565FCAF9" w14:textId="77777777" w:rsidR="00007E3F" w:rsidRPr="00D42D07" w:rsidRDefault="00007E3F" w:rsidP="00007E3F">
      <w:pPr>
        <w:pStyle w:val="BCTTStyle3"/>
        <w:numPr>
          <w:ilvl w:val="0"/>
          <w:numId w:val="0"/>
        </w:numPr>
        <w:ind w:left="360" w:hanging="360"/>
      </w:pPr>
      <w:r w:rsidRPr="00D42D07">
        <w:lastRenderedPageBreak/>
        <w:t xml:space="preserve">Key Recommendations: </w:t>
      </w:r>
    </w:p>
    <w:p w14:paraId="2F43C181" w14:textId="2DBA9C0A" w:rsidR="00007E3F" w:rsidRPr="00E5257F" w:rsidRDefault="00000000" w:rsidP="00007E3F">
      <w:pPr>
        <w:pStyle w:val="NoSpacing"/>
        <w:spacing w:after="240"/>
        <w:ind w:left="1260" w:hanging="1260"/>
        <w:rPr>
          <w:rStyle w:val="Hyperlink"/>
          <w:rFonts w:eastAsia="Calibri" w:cstheme="minorHAnsi"/>
        </w:rPr>
      </w:pPr>
      <w:hyperlink w:anchor="LLU_R_1" w:history="1">
        <w:r w:rsidR="00007E3F" w:rsidRPr="006974CD">
          <w:rPr>
            <w:rStyle w:val="Hyperlink"/>
            <w:b/>
          </w:rPr>
          <w:t>LLU R-1.</w:t>
        </w:r>
      </w:hyperlink>
      <w:r w:rsidR="00007E3F" w:rsidRPr="0064647E">
        <w:tab/>
      </w:r>
      <w:r w:rsidR="00007E3F">
        <w:t xml:space="preserve">Consistent with </w:t>
      </w:r>
      <w:r w:rsidR="00007E3F" w:rsidRPr="005C2FB6">
        <w:rPr>
          <w:rFonts w:eastAsia="Calibri" w:cstheme="minorHAnsi"/>
        </w:rPr>
        <w:t xml:space="preserve">SWAC’s </w:t>
      </w:r>
      <w:r w:rsidR="00007E3F">
        <w:t xml:space="preserve">bylaws and Chapter 23 of the County Code, </w:t>
      </w:r>
      <w:r w:rsidR="00007E3F" w:rsidRPr="005C2FB6">
        <w:rPr>
          <w:rFonts w:eastAsia="Calibri" w:cstheme="minorHAnsi"/>
        </w:rPr>
        <w:t>SWAC’s role in reviewing a landfill-expansion CUP should be from the perspective of solid waste management (see LLU</w:t>
      </w:r>
      <w:r w:rsidR="00007E3F">
        <w:rPr>
          <w:rFonts w:eastAsia="Calibri" w:cstheme="minorHAnsi"/>
        </w:rPr>
        <w:t xml:space="preserve"> </w:t>
      </w:r>
      <w:r w:rsidR="00007E3F" w:rsidRPr="005C2FB6">
        <w:rPr>
          <w:rFonts w:eastAsia="Calibri" w:cstheme="minorHAnsi"/>
        </w:rPr>
        <w:t xml:space="preserve">F-13). </w:t>
      </w:r>
      <w:r w:rsidR="00007E3F" w:rsidRPr="005C2FB6">
        <w:rPr>
          <w:rFonts w:eastAsia="Calibri" w:cstheme="minorHAnsi"/>
          <w:bCs/>
        </w:rPr>
        <w:t xml:space="preserve">The </w:t>
      </w:r>
      <w:r w:rsidR="00007E3F">
        <w:rPr>
          <w:rFonts w:eastAsia="Calibri" w:cstheme="minorHAnsi"/>
          <w:bCs/>
        </w:rPr>
        <w:t>Board of Commissioners should more clearly define SWAC’s role by articulating a scope of review. E</w:t>
      </w:r>
      <w:r w:rsidR="00007E3F" w:rsidRPr="005C2FB6">
        <w:rPr>
          <w:rFonts w:eastAsia="Calibri" w:cstheme="minorHAnsi"/>
          <w:bCs/>
        </w:rPr>
        <w:t>xample</w:t>
      </w:r>
      <w:r w:rsidR="00007E3F">
        <w:rPr>
          <w:rFonts w:eastAsia="Calibri" w:cstheme="minorHAnsi"/>
          <w:bCs/>
        </w:rPr>
        <w:t xml:space="preserve">s of </w:t>
      </w:r>
      <w:r w:rsidR="00007E3F">
        <w:rPr>
          <w:rFonts w:eastAsia="Calibri" w:cstheme="minorHAnsi"/>
        </w:rPr>
        <w:t xml:space="preserve">areas </w:t>
      </w:r>
      <w:r w:rsidR="00007E3F">
        <w:rPr>
          <w:rFonts w:eastAsia="Calibri" w:cstheme="minorHAnsi"/>
          <w:bCs/>
        </w:rPr>
        <w:t>that may be appropriate for</w:t>
      </w:r>
      <w:r w:rsidR="00007E3F">
        <w:rPr>
          <w:rFonts w:eastAsia="Calibri" w:cstheme="minorHAnsi"/>
        </w:rPr>
        <w:t xml:space="preserve"> SWAC</w:t>
      </w:r>
      <w:r w:rsidR="00007E3F">
        <w:rPr>
          <w:rFonts w:eastAsia="Calibri" w:cstheme="minorHAnsi"/>
          <w:bCs/>
        </w:rPr>
        <w:t xml:space="preserve"> to comment on</w:t>
      </w:r>
      <w:r w:rsidR="00007E3F" w:rsidRPr="005C2FB6">
        <w:rPr>
          <w:rFonts w:eastAsia="Calibri" w:cstheme="minorHAnsi"/>
        </w:rPr>
        <w:t xml:space="preserve">: Is the proposed expansion consistent with long-term plans for the landfill site?  Is the proposal consistent with </w:t>
      </w:r>
      <w:r w:rsidR="002C0999">
        <w:rPr>
          <w:rFonts w:eastAsia="Calibri" w:cstheme="minorHAnsi"/>
        </w:rPr>
        <w:t xml:space="preserve">the </w:t>
      </w:r>
      <w:r w:rsidR="00007E3F" w:rsidRPr="005C2FB6">
        <w:rPr>
          <w:rFonts w:eastAsia="Calibri" w:cstheme="minorHAnsi"/>
        </w:rPr>
        <w:t>principles of responsible solid waste management? What (solid waste management) benefits do you see to the proposed expansion? What potential (solid waste management) negative effects do you see? Are there ways to minimize or mitigate those effects</w:t>
      </w:r>
      <w:r w:rsidR="00007E3F" w:rsidRPr="00333AFB">
        <w:rPr>
          <w:rFonts w:eastAsia="Calibri" w:cstheme="minorHAnsi"/>
        </w:rPr>
        <w:t>?</w:t>
      </w:r>
      <w:r w:rsidR="00007E3F" w:rsidRPr="005C2FB6">
        <w:t xml:space="preserve"> </w:t>
      </w:r>
      <w:r w:rsidR="00007E3F">
        <w:t xml:space="preserve"> (If/when SWAC’s overall role shifts to sustainable materials management, instances of the term “solid waste management” above should be replaced with “sustainable materials management.”) </w:t>
      </w:r>
    </w:p>
    <w:p w14:paraId="55634735" w14:textId="687893CC" w:rsidR="00007E3F" w:rsidRDefault="00000000" w:rsidP="00007E3F">
      <w:pPr>
        <w:pStyle w:val="NoSpacing"/>
        <w:spacing w:after="240"/>
        <w:ind w:left="1260" w:hanging="1260"/>
        <w:rPr>
          <w:rFonts w:eastAsia="Calibri" w:cstheme="minorHAnsi"/>
        </w:rPr>
      </w:pPr>
      <w:hyperlink w:anchor="LLU_R_2" w:history="1">
        <w:r w:rsidR="00007E3F" w:rsidRPr="006974CD">
          <w:rPr>
            <w:rStyle w:val="Hyperlink"/>
            <w:b/>
          </w:rPr>
          <w:t>LLU R-2.</w:t>
        </w:r>
      </w:hyperlink>
      <w:r w:rsidR="00007E3F" w:rsidRPr="0064647E">
        <w:tab/>
      </w:r>
      <w:r w:rsidR="00007E3F" w:rsidRPr="00E5257F">
        <w:rPr>
          <w:rFonts w:eastAsia="Calibri" w:cstheme="minorHAnsi"/>
        </w:rPr>
        <w:t xml:space="preserve">Amendments to the Development Code may be needed </w:t>
      </w:r>
      <w:r w:rsidR="002C0999">
        <w:rPr>
          <w:rFonts w:eastAsia="Calibri" w:cstheme="minorHAnsi"/>
        </w:rPr>
        <w:t>to</w:t>
      </w:r>
      <w:r w:rsidR="00007E3F" w:rsidRPr="00E5257F">
        <w:rPr>
          <w:rFonts w:eastAsia="Calibri" w:cstheme="minorHAnsi"/>
        </w:rPr>
        <w:t xml:space="preserve"> create a clear and legally consistent process for SWAC’s involvement in </w:t>
      </w:r>
      <w:r w:rsidR="00765448">
        <w:rPr>
          <w:rFonts w:eastAsia="Calibri" w:cstheme="minorHAnsi"/>
        </w:rPr>
        <w:t>reviewing</w:t>
      </w:r>
      <w:r w:rsidR="00007E3F" w:rsidRPr="00E5257F">
        <w:rPr>
          <w:rFonts w:eastAsia="Calibri" w:cstheme="minorHAnsi"/>
        </w:rPr>
        <w:t xml:space="preserve"> a CUP.  Pursuant to the Development Code as written, the only criteria that a CUP decision can be based upon are those of BCC 53.215, and the Planning Commission is the decision-making body</w:t>
      </w:r>
      <w:r w:rsidR="002C0999">
        <w:rPr>
          <w:rFonts w:eastAsia="Calibri" w:cstheme="minorHAnsi"/>
        </w:rPr>
        <w:t>. Yet, the</w:t>
      </w:r>
      <w:r w:rsidR="00007E3F" w:rsidRPr="00E5257F">
        <w:rPr>
          <w:rFonts w:eastAsia="Calibri" w:cstheme="minorHAnsi"/>
        </w:rPr>
        <w:t xml:space="preserve"> code states an ambiguous role for SWAC in that process and seems to imply that other considerations beyond those of BCC 53.215 should go into the decision-making process.  This needs clarification.</w:t>
      </w:r>
    </w:p>
    <w:p w14:paraId="5CAF91D2" w14:textId="2E11B3E3" w:rsidR="00007E3F" w:rsidRPr="005C2FB6" w:rsidRDefault="00000000" w:rsidP="00007E3F">
      <w:pPr>
        <w:pStyle w:val="NoSpacing"/>
        <w:spacing w:after="240"/>
        <w:ind w:left="1260" w:hanging="1260"/>
        <w:rPr>
          <w:rFonts w:eastAsia="Calibri" w:cstheme="minorHAnsi"/>
        </w:rPr>
      </w:pPr>
      <w:hyperlink w:anchor="LLU_R_3" w:history="1">
        <w:r w:rsidR="00007E3F" w:rsidRPr="006974CD">
          <w:rPr>
            <w:rStyle w:val="Hyperlink"/>
            <w:b/>
          </w:rPr>
          <w:t>LLU R-3.</w:t>
        </w:r>
      </w:hyperlink>
      <w:r w:rsidR="00007E3F" w:rsidRPr="0064647E">
        <w:tab/>
      </w:r>
      <w:r w:rsidR="00007E3F">
        <w:rPr>
          <w:rFonts w:eastAsia="Calibri" w:cstheme="minorHAnsi"/>
        </w:rPr>
        <w:t>BCC 77.310 states that</w:t>
      </w:r>
      <w:r w:rsidR="00007E3F" w:rsidRPr="00E109FA">
        <w:rPr>
          <w:rFonts w:eastAsia="Calibri" w:cstheme="minorHAnsi"/>
        </w:rPr>
        <w:t xml:space="preserve"> </w:t>
      </w:r>
      <w:r w:rsidR="00007E3F">
        <w:rPr>
          <w:rFonts w:eastAsia="Calibri" w:cstheme="minorHAnsi"/>
        </w:rPr>
        <w:t>“</w:t>
      </w:r>
      <w:r w:rsidR="00007E3F" w:rsidRPr="00E109FA">
        <w:rPr>
          <w:rFonts w:eastAsia="Calibri" w:cstheme="minorHAnsi"/>
          <w:i/>
        </w:rPr>
        <w:t>The applicant for a conditional use permit shall provide a</w:t>
      </w:r>
      <w:r w:rsidR="00007E3F" w:rsidRPr="00E109FA">
        <w:rPr>
          <w:rFonts w:eastAsia="Calibri" w:cstheme="minorHAnsi"/>
          <w:i/>
          <w:w w:val="99"/>
        </w:rPr>
        <w:t xml:space="preserve"> </w:t>
      </w:r>
      <w:r w:rsidR="00007E3F" w:rsidRPr="00E109FA">
        <w:rPr>
          <w:rFonts w:eastAsia="Calibri" w:cstheme="minorHAnsi"/>
          <w:i/>
        </w:rPr>
        <w:t>narrative which describes:</w:t>
      </w:r>
      <w:r w:rsidR="00007E3F">
        <w:rPr>
          <w:rFonts w:eastAsia="Calibri" w:cstheme="minorHAnsi"/>
        </w:rPr>
        <w:t xml:space="preserve"> * * * </w:t>
      </w:r>
      <w:r w:rsidR="00007E3F" w:rsidRPr="00E109FA">
        <w:rPr>
          <w:rFonts w:eastAsia="Calibri" w:cstheme="minorHAnsi"/>
          <w:i/>
        </w:rPr>
        <w:t>Other information as required by the Planning Official.”</w:t>
      </w:r>
      <w:r w:rsidR="00007E3F" w:rsidRPr="005533C2">
        <w:rPr>
          <w:rFonts w:eastAsia="Calibri" w:cstheme="minorHAnsi"/>
        </w:rPr>
        <w:t xml:space="preserve"> </w:t>
      </w:r>
      <w:r w:rsidR="00007E3F">
        <w:rPr>
          <w:rFonts w:eastAsia="Calibri" w:cstheme="minorHAnsi"/>
        </w:rPr>
        <w:t>[</w:t>
      </w:r>
      <w:r w:rsidR="00007E3F" w:rsidRPr="005533C2">
        <w:rPr>
          <w:rFonts w:eastAsia="Calibri" w:cstheme="minorHAnsi"/>
        </w:rPr>
        <w:t>BCC 77.310(1)(e)</w:t>
      </w:r>
      <w:r w:rsidR="00007E3F">
        <w:rPr>
          <w:rFonts w:eastAsia="Calibri" w:cstheme="minorHAnsi"/>
        </w:rPr>
        <w:t>]</w:t>
      </w:r>
      <w:r w:rsidR="00007E3F" w:rsidRPr="00E109FA">
        <w:rPr>
          <w:rFonts w:eastAsia="Calibri" w:cstheme="minorHAnsi"/>
        </w:rPr>
        <w:t xml:space="preserve"> </w:t>
      </w:r>
      <w:r w:rsidR="00007E3F">
        <w:rPr>
          <w:rFonts w:eastAsia="Calibri" w:cstheme="minorHAnsi"/>
        </w:rPr>
        <w:t xml:space="preserve"> </w:t>
      </w:r>
      <w:r w:rsidR="00007E3F" w:rsidRPr="009F17C9">
        <w:rPr>
          <w:rFonts w:eastAsia="Calibri" w:cstheme="minorHAnsi"/>
        </w:rPr>
        <w:t xml:space="preserve">The workgroup could make recommendations regarding what </w:t>
      </w:r>
      <w:r w:rsidR="00007E3F">
        <w:rPr>
          <w:rFonts w:eastAsia="Calibri" w:cstheme="minorHAnsi"/>
        </w:rPr>
        <w:t xml:space="preserve">“other </w:t>
      </w:r>
      <w:r w:rsidR="00007E3F" w:rsidRPr="009F17C9">
        <w:rPr>
          <w:rFonts w:eastAsia="Calibri" w:cstheme="minorHAnsi"/>
        </w:rPr>
        <w:t>information</w:t>
      </w:r>
      <w:r w:rsidR="00007E3F">
        <w:rPr>
          <w:rFonts w:eastAsia="Calibri" w:cstheme="minorHAnsi"/>
        </w:rPr>
        <w:t>”</w:t>
      </w:r>
      <w:r w:rsidR="00007E3F" w:rsidRPr="009F17C9">
        <w:rPr>
          <w:rFonts w:eastAsia="Calibri" w:cstheme="minorHAnsi"/>
        </w:rPr>
        <w:t xml:space="preserve"> would be helpful in a narrative.  However, any committee recommendations would have to be limited to information related to the applicable criteria and could not expand </w:t>
      </w:r>
      <w:r w:rsidR="00111D84" w:rsidRPr="009F17C9">
        <w:rPr>
          <w:rFonts w:eastAsia="Calibri" w:cstheme="minorHAnsi"/>
        </w:rPr>
        <w:t>those criteria</w:t>
      </w:r>
      <w:r w:rsidR="00007E3F" w:rsidRPr="009F17C9">
        <w:rPr>
          <w:rFonts w:eastAsia="Calibri" w:cstheme="minorHAnsi"/>
        </w:rPr>
        <w:t xml:space="preserve">. </w:t>
      </w:r>
      <w:r w:rsidR="00007E3F" w:rsidRPr="00E5257F">
        <w:rPr>
          <w:rFonts w:eastAsia="Calibri" w:cstheme="minorHAnsi"/>
        </w:rPr>
        <w:t xml:space="preserve">  </w:t>
      </w:r>
    </w:p>
    <w:p w14:paraId="567A0FC3" w14:textId="2AFF6035" w:rsidR="00007E3F" w:rsidRPr="005C2FB6" w:rsidRDefault="00000000" w:rsidP="00007E3F">
      <w:pPr>
        <w:pStyle w:val="NoSpacing"/>
        <w:spacing w:after="240"/>
        <w:ind w:left="1260" w:hanging="1260"/>
      </w:pPr>
      <w:hyperlink w:anchor="LLU_R_4" w:history="1">
        <w:r w:rsidR="00007E3F" w:rsidRPr="006974CD">
          <w:rPr>
            <w:rStyle w:val="Hyperlink"/>
            <w:b/>
          </w:rPr>
          <w:t>LLU R-4.</w:t>
        </w:r>
      </w:hyperlink>
      <w:r w:rsidR="00007E3F" w:rsidRPr="0064647E">
        <w:tab/>
      </w:r>
      <w:r w:rsidR="00007E3F" w:rsidRPr="005C2FB6">
        <w:t>BCC 77.405 states</w:t>
      </w:r>
      <w:r w:rsidR="002C0999">
        <w:t>, “</w:t>
      </w:r>
      <w:r w:rsidR="00007E3F" w:rsidRPr="005C2FB6">
        <w:rPr>
          <w:rFonts w:eastAsia="Calibri" w:cstheme="minorHAnsi"/>
          <w:i/>
        </w:rPr>
        <w:t>Copies of materials submitted to the Oregon Department of Environmental Quality as a part of any permit process shall be submitted to the Planning Official. If at any time the Planning Official determines that permit application materials or conditions of DEQ permit are judged to merit public review, a Public Hearing before the Planning Commission shall be scheduled.</w:t>
      </w:r>
      <w:r w:rsidR="00007E3F" w:rsidRPr="005C2FB6">
        <w:rPr>
          <w:rFonts w:eastAsia="Calibri" w:cstheme="minorHAnsi"/>
        </w:rPr>
        <w:t xml:space="preserve">”  This provision is unclear.  </w:t>
      </w:r>
      <w:r w:rsidR="00007E3F">
        <w:rPr>
          <w:rFonts w:eastAsia="Calibri" w:cstheme="minorHAnsi"/>
        </w:rPr>
        <w:t>The subcommittee</w:t>
      </w:r>
      <w:r w:rsidR="00007E3F" w:rsidRPr="005C2FB6">
        <w:rPr>
          <w:rFonts w:eastAsia="Calibri" w:cstheme="minorHAnsi"/>
        </w:rPr>
        <w:t xml:space="preserve"> interprets this section </w:t>
      </w:r>
      <w:r w:rsidR="00007E3F">
        <w:rPr>
          <w:rFonts w:eastAsia="Calibri" w:cstheme="minorHAnsi"/>
        </w:rPr>
        <w:t xml:space="preserve">as </w:t>
      </w:r>
      <w:r w:rsidR="00007E3F" w:rsidRPr="005C2FB6">
        <w:rPr>
          <w:rFonts w:eastAsia="Calibri" w:cstheme="minorHAnsi"/>
        </w:rPr>
        <w:t>requir</w:t>
      </w:r>
      <w:r w:rsidR="00007E3F">
        <w:rPr>
          <w:rFonts w:eastAsia="Calibri" w:cstheme="minorHAnsi"/>
        </w:rPr>
        <w:t>ing</w:t>
      </w:r>
      <w:r w:rsidR="00007E3F" w:rsidRPr="005C2FB6">
        <w:rPr>
          <w:rFonts w:eastAsia="Calibri" w:cstheme="minorHAnsi"/>
        </w:rPr>
        <w:t xml:space="preserve"> a review if the use originally approved has been </w:t>
      </w:r>
      <w:r w:rsidR="00007E3F">
        <w:rPr>
          <w:rFonts w:eastAsia="Calibri" w:cstheme="minorHAnsi"/>
        </w:rPr>
        <w:t xml:space="preserve">or will be </w:t>
      </w:r>
      <w:r w:rsidR="00007E3F" w:rsidRPr="005C2FB6">
        <w:rPr>
          <w:rFonts w:eastAsia="Calibri" w:cstheme="minorHAnsi"/>
        </w:rPr>
        <w:t>modified</w:t>
      </w:r>
      <w:r w:rsidR="00007E3F">
        <w:rPr>
          <w:rFonts w:eastAsia="Calibri" w:cstheme="minorHAnsi"/>
        </w:rPr>
        <w:t xml:space="preserve"> </w:t>
      </w:r>
      <w:r w:rsidR="002C0999">
        <w:rPr>
          <w:rFonts w:eastAsia="Calibri" w:cstheme="minorHAnsi"/>
        </w:rPr>
        <w:t>due to</w:t>
      </w:r>
      <w:r w:rsidR="00007E3F">
        <w:rPr>
          <w:rFonts w:eastAsia="Calibri" w:cstheme="minorHAnsi"/>
        </w:rPr>
        <w:t xml:space="preserve"> the DEQ permit</w:t>
      </w:r>
      <w:r w:rsidR="00007E3F" w:rsidRPr="005C2FB6">
        <w:rPr>
          <w:rFonts w:eastAsia="Calibri" w:cstheme="minorHAnsi"/>
        </w:rPr>
        <w:t>.</w:t>
      </w:r>
      <w:r w:rsidR="00007E3F">
        <w:rPr>
          <w:rFonts w:eastAsia="Calibri" w:cstheme="minorHAnsi"/>
        </w:rPr>
        <w:t xml:space="preserve"> </w:t>
      </w:r>
      <w:r w:rsidR="00007E3F">
        <w:rPr>
          <w:rFonts w:eastAsia="Calibri" w:cs="Calibri"/>
          <w:bCs/>
          <w:szCs w:val="22"/>
        </w:rPr>
        <w:t xml:space="preserve">The Planning Official could make such a determination </w:t>
      </w:r>
      <w:r w:rsidR="002C0999">
        <w:rPr>
          <w:rFonts w:eastAsia="Calibri" w:cs="Calibri"/>
          <w:bCs/>
          <w:szCs w:val="22"/>
        </w:rPr>
        <w:t>using</w:t>
      </w:r>
      <w:r w:rsidR="00007E3F">
        <w:rPr>
          <w:rFonts w:eastAsia="Calibri" w:cs="Calibri"/>
          <w:bCs/>
          <w:szCs w:val="22"/>
        </w:rPr>
        <w:t xml:space="preserve"> a formal “Interpretation” pursuant to BCC 51.205(1).</w:t>
      </w:r>
      <w:r w:rsidR="00007E3F" w:rsidRPr="005C2FB6">
        <w:rPr>
          <w:rFonts w:eastAsia="Calibri" w:cstheme="minorHAnsi"/>
          <w:bCs/>
        </w:rPr>
        <w:t xml:space="preserve">  Recommend code amendment to clarify this provision.  A workgroup recommendation on how public review of DEQ permit requirements could most benefit the public would also be helpful. </w:t>
      </w:r>
    </w:p>
    <w:p w14:paraId="23BB89F4" w14:textId="2A3B2A81" w:rsidR="00007E3F" w:rsidRPr="00705C29" w:rsidRDefault="00000000" w:rsidP="00007E3F">
      <w:pPr>
        <w:spacing w:after="240" w:line="240" w:lineRule="auto"/>
        <w:ind w:left="1260" w:hanging="1260"/>
        <w:rPr>
          <w:rFonts w:eastAsia="Calibri" w:cs="Calibri"/>
          <w:szCs w:val="22"/>
        </w:rPr>
      </w:pPr>
      <w:hyperlink w:anchor="LLU_R_5" w:history="1">
        <w:r w:rsidR="00007E3F" w:rsidRPr="006974CD">
          <w:rPr>
            <w:rStyle w:val="Hyperlink"/>
            <w:b/>
          </w:rPr>
          <w:t>LLU R-5.</w:t>
        </w:r>
      </w:hyperlink>
      <w:r w:rsidR="00007E3F" w:rsidRPr="0064647E">
        <w:tab/>
      </w:r>
      <w:r w:rsidR="00007E3F" w:rsidRPr="00705C29">
        <w:rPr>
          <w:rFonts w:eastAsia="Calibri" w:cs="Calibri"/>
          <w:szCs w:val="22"/>
        </w:rPr>
        <w:t xml:space="preserve">If the County provides an opportunity for public input into the determination of application completeness, </w:t>
      </w:r>
      <w:r w:rsidR="002C0999">
        <w:rPr>
          <w:rFonts w:eastAsia="Calibri" w:cs="Calibri"/>
          <w:szCs w:val="22"/>
        </w:rPr>
        <w:t xml:space="preserve">the </w:t>
      </w:r>
      <w:r w:rsidR="00007E3F" w:rsidRPr="00705C29">
        <w:rPr>
          <w:rFonts w:eastAsia="Calibri" w:cs="Calibri"/>
          <w:szCs w:val="22"/>
        </w:rPr>
        <w:t xml:space="preserve">information provided to the public should include a </w:t>
      </w:r>
      <w:r w:rsidR="00007E3F" w:rsidRPr="00705C29">
        <w:rPr>
          <w:rFonts w:eastAsia="Calibri" w:cs="Calibri"/>
          <w:szCs w:val="22"/>
        </w:rPr>
        <w:lastRenderedPageBreak/>
        <w:t xml:space="preserve">caution that the County is not required to, and may not have the time to, address or incorporate the public input into the completeness determination, and that such public input is not considered public testimony on the merits of the application. </w:t>
      </w:r>
    </w:p>
    <w:p w14:paraId="6CA80E82" w14:textId="74AF0106" w:rsidR="00007E3F" w:rsidRPr="00705C29" w:rsidRDefault="00000000" w:rsidP="00007E3F">
      <w:pPr>
        <w:spacing w:after="120" w:line="240" w:lineRule="auto"/>
        <w:ind w:left="1267" w:hanging="1267"/>
        <w:rPr>
          <w:rFonts w:eastAsia="Calibri" w:cs="Calibri"/>
          <w:szCs w:val="22"/>
        </w:rPr>
      </w:pPr>
      <w:hyperlink w:anchor="LLU_R_6" w:history="1">
        <w:r w:rsidR="00007E3F" w:rsidRPr="00CF5137">
          <w:rPr>
            <w:rStyle w:val="Hyperlink"/>
            <w:rFonts w:eastAsia="Calibri" w:cs="Calibri"/>
            <w:b/>
            <w:bCs/>
            <w:szCs w:val="22"/>
          </w:rPr>
          <w:t>LLU R-6</w:t>
        </w:r>
      </w:hyperlink>
      <w:r w:rsidR="00007E3F" w:rsidRPr="00705C29">
        <w:rPr>
          <w:rFonts w:eastAsia="Calibri" w:cs="Calibri"/>
          <w:szCs w:val="22"/>
        </w:rPr>
        <w:tab/>
        <w:t xml:space="preserve">A process to allow public input, </w:t>
      </w:r>
      <w:r w:rsidR="005949F1" w:rsidRPr="00705C29">
        <w:rPr>
          <w:rFonts w:eastAsia="Calibri" w:cs="Calibri"/>
          <w:szCs w:val="22"/>
        </w:rPr>
        <w:t>comment,</w:t>
      </w:r>
      <w:r w:rsidR="00007E3F" w:rsidRPr="00705C29">
        <w:rPr>
          <w:rFonts w:eastAsia="Calibri" w:cs="Calibri"/>
          <w:szCs w:val="22"/>
        </w:rPr>
        <w:t xml:space="preserve"> and feedback on any provisions subject to Section 2 of the collection franchise agreement between Benton County and Allied Waste Services of Corvallis (“Republic Services”) could be designed as follows:</w:t>
      </w:r>
    </w:p>
    <w:p w14:paraId="06418C43" w14:textId="77777777" w:rsidR="00007E3F" w:rsidRDefault="00007E3F" w:rsidP="00007E3F">
      <w:pPr>
        <w:spacing w:after="240" w:line="240" w:lineRule="auto"/>
        <w:ind w:left="1267"/>
        <w:rPr>
          <w:rFonts w:eastAsia="Calibri" w:cs="Calibri"/>
          <w:szCs w:val="22"/>
        </w:rPr>
      </w:pPr>
      <w:r w:rsidRPr="00705C29">
        <w:rPr>
          <w:rFonts w:eastAsia="Calibri" w:cs="Calibri"/>
          <w:szCs w:val="22"/>
        </w:rPr>
        <w:t>After the parties have begun discussing what specific terms may be amended pursuant to Section 2, but no more than 60 days prior to any amendment being approved by the Board of Commissioners, the County will publish a notice that it   is seeking suggestions from the public for negotiation topics</w:t>
      </w:r>
      <w:r>
        <w:rPr>
          <w:rFonts w:eastAsia="Calibri" w:cs="Calibri"/>
          <w:szCs w:val="22"/>
        </w:rPr>
        <w:t xml:space="preserve"> generated</w:t>
      </w:r>
      <w:r w:rsidRPr="00705C29">
        <w:rPr>
          <w:rFonts w:eastAsia="Calibri" w:cs="Calibri"/>
          <w:szCs w:val="22"/>
        </w:rPr>
        <w:t xml:space="preserve"> </w:t>
      </w:r>
      <w:r>
        <w:rPr>
          <w:rFonts w:eastAsia="Calibri" w:cs="Calibri"/>
          <w:szCs w:val="22"/>
        </w:rPr>
        <w:t>from the</w:t>
      </w:r>
      <w:r w:rsidRPr="00705C29">
        <w:rPr>
          <w:rFonts w:eastAsia="Calibri" w:cs="Calibri"/>
          <w:szCs w:val="22"/>
        </w:rPr>
        <w:t xml:space="preserve"> “</w:t>
      </w:r>
      <w:r>
        <w:rPr>
          <w:rFonts w:eastAsia="Calibri" w:cs="Calibri"/>
          <w:szCs w:val="22"/>
        </w:rPr>
        <w:t xml:space="preserve">concepts </w:t>
      </w:r>
      <w:r w:rsidRPr="00705C29">
        <w:rPr>
          <w:rFonts w:eastAsia="Calibri" w:cs="Calibri"/>
          <w:szCs w:val="22"/>
        </w:rPr>
        <w:t>from the consensus-seeking process.”</w:t>
      </w:r>
      <w:r w:rsidRPr="000C7057">
        <w:rPr>
          <w:rFonts w:eastAsia="Calibri" w:cs="Calibri"/>
          <w:szCs w:val="22"/>
        </w:rPr>
        <w:t xml:space="preserve"> </w:t>
      </w:r>
      <w:r>
        <w:rPr>
          <w:rFonts w:eastAsia="Calibri" w:cs="Calibri"/>
          <w:szCs w:val="22"/>
        </w:rPr>
        <w:t xml:space="preserve">   </w:t>
      </w:r>
    </w:p>
    <w:p w14:paraId="1BAEA3B5" w14:textId="244C0BD5" w:rsidR="00007E3F" w:rsidRPr="00705C29" w:rsidRDefault="00007E3F" w:rsidP="00007E3F">
      <w:pPr>
        <w:spacing w:after="240" w:line="240" w:lineRule="auto"/>
        <w:ind w:left="1267"/>
        <w:rPr>
          <w:rFonts w:eastAsia="Calibri" w:cs="Calibri"/>
          <w:szCs w:val="22"/>
        </w:rPr>
      </w:pPr>
      <w:r w:rsidRPr="00705C29">
        <w:rPr>
          <w:rFonts w:eastAsia="Calibri" w:cs="Calibri"/>
          <w:szCs w:val="22"/>
        </w:rPr>
        <w:t>Any input received would be presented to the Board of Commissioners at a work session</w:t>
      </w:r>
      <w:r w:rsidR="00AD3FE3">
        <w:rPr>
          <w:rFonts w:eastAsia="Calibri" w:cs="Calibri"/>
          <w:szCs w:val="22"/>
        </w:rPr>
        <w:t>,</w:t>
      </w:r>
      <w:r w:rsidRPr="00705C29">
        <w:rPr>
          <w:rFonts w:eastAsia="Calibri" w:cs="Calibri"/>
          <w:szCs w:val="22"/>
        </w:rPr>
        <w:t xml:space="preserve"> at which time the Board would identify those ideas or suggestions that may be included as negotiation topics.</w:t>
      </w:r>
    </w:p>
    <w:p w14:paraId="15CB2788" w14:textId="5262F6A0" w:rsidR="00007E3F" w:rsidRPr="00705C29" w:rsidRDefault="00007E3F" w:rsidP="00007E3F">
      <w:pPr>
        <w:spacing w:after="240" w:line="240" w:lineRule="auto"/>
        <w:ind w:left="1267"/>
        <w:rPr>
          <w:rFonts w:eastAsia="Calibri" w:cs="Calibri"/>
          <w:szCs w:val="22"/>
        </w:rPr>
      </w:pPr>
      <w:r w:rsidRPr="00705C29">
        <w:rPr>
          <w:rFonts w:eastAsia="Calibri" w:cs="Calibri"/>
          <w:szCs w:val="22"/>
        </w:rPr>
        <w:t>Following the work session and as part of the ongoing negotiations, Benton County Staff will</w:t>
      </w:r>
      <w:r w:rsidR="00AD3FE3">
        <w:rPr>
          <w:rFonts w:eastAsia="Calibri" w:cs="Calibri"/>
          <w:szCs w:val="22"/>
        </w:rPr>
        <w:t xml:space="preserve"> </w:t>
      </w:r>
      <w:r w:rsidRPr="00705C29">
        <w:rPr>
          <w:rFonts w:eastAsia="Calibri" w:cs="Calibri"/>
          <w:szCs w:val="22"/>
        </w:rPr>
        <w:t xml:space="preserve">discuss with Republic Services the topics and ideas </w:t>
      </w:r>
      <w:r w:rsidR="00AD3FE3">
        <w:rPr>
          <w:rFonts w:eastAsia="Calibri" w:cs="Calibri"/>
          <w:szCs w:val="22"/>
        </w:rPr>
        <w:t>the Board of Commissioners identified</w:t>
      </w:r>
      <w:r w:rsidRPr="00705C29">
        <w:rPr>
          <w:rFonts w:eastAsia="Calibri" w:cs="Calibri"/>
          <w:szCs w:val="22"/>
        </w:rPr>
        <w:t>.</w:t>
      </w:r>
    </w:p>
    <w:p w14:paraId="2DB8388A" w14:textId="399C2D65" w:rsidR="00007E3F" w:rsidRPr="00705C29" w:rsidRDefault="00007E3F" w:rsidP="00007E3F">
      <w:pPr>
        <w:spacing w:after="240" w:line="240" w:lineRule="auto"/>
        <w:ind w:left="1267"/>
        <w:rPr>
          <w:rFonts w:eastAsia="Calibri" w:cs="Calibri"/>
          <w:szCs w:val="22"/>
        </w:rPr>
      </w:pPr>
      <w:r w:rsidRPr="00705C29">
        <w:rPr>
          <w:rFonts w:eastAsia="Calibri" w:cs="Calibri"/>
          <w:szCs w:val="22"/>
        </w:rPr>
        <w:t>At such time as Benton County and Republic Services reach a tentative agreement on the renegotiated terms, Staff would bring the proposed franchise changes to the board meeting, where consideration of the amended franchise agreement would be conducted in a public hearing pursuant to BCC 23.235</w:t>
      </w:r>
      <w:r>
        <w:rPr>
          <w:rFonts w:eastAsia="Calibri" w:cs="Calibri"/>
          <w:szCs w:val="22"/>
        </w:rPr>
        <w:t>, which will include an opportunity for the public to present testimony</w:t>
      </w:r>
      <w:r w:rsidRPr="00705C29">
        <w:rPr>
          <w:rFonts w:eastAsia="Calibri" w:cs="Calibri"/>
          <w:szCs w:val="22"/>
        </w:rPr>
        <w:t xml:space="preserve">.  </w:t>
      </w:r>
      <w:r>
        <w:rPr>
          <w:rFonts w:eastAsia="Calibri" w:cs="Calibri"/>
          <w:szCs w:val="22"/>
        </w:rPr>
        <w:t>The Board could approve the agreement as presented or</w:t>
      </w:r>
      <w:r w:rsidRPr="00705C29">
        <w:rPr>
          <w:rFonts w:eastAsia="Calibri" w:cs="Calibri"/>
          <w:szCs w:val="22"/>
        </w:rPr>
        <w:t xml:space="preserve"> may direct staff to resume negotiations</w:t>
      </w:r>
      <w:r>
        <w:rPr>
          <w:rFonts w:eastAsia="Calibri" w:cs="Calibri"/>
          <w:szCs w:val="22"/>
        </w:rPr>
        <w:t xml:space="preserve"> with Republic Services</w:t>
      </w:r>
      <w:r w:rsidRPr="00705C29">
        <w:rPr>
          <w:rFonts w:eastAsia="Calibri" w:cs="Calibri"/>
          <w:szCs w:val="22"/>
        </w:rPr>
        <w:t xml:space="preserve"> to include specific topics identified by the Board.</w:t>
      </w:r>
    </w:p>
    <w:p w14:paraId="0F5DDF73" w14:textId="628D902F" w:rsidR="00007E3F" w:rsidRPr="00705C29" w:rsidRDefault="00007E3F" w:rsidP="00007E3F">
      <w:pPr>
        <w:spacing w:after="240" w:line="240" w:lineRule="auto"/>
        <w:ind w:left="1267"/>
        <w:rPr>
          <w:rFonts w:eastAsia="Calibri" w:cs="Calibri"/>
          <w:szCs w:val="22"/>
        </w:rPr>
      </w:pPr>
      <w:r w:rsidRPr="00705C29">
        <w:rPr>
          <w:rFonts w:eastAsia="Calibri" w:cs="Calibri"/>
          <w:szCs w:val="22"/>
        </w:rPr>
        <w:t>The renegotiated collection franchise agreement must be agreed upon, in its entirety, by both Benton County and Republic Services.   At such time as the terms have been agreed upon, and the Board is satisfied that public input has been adequately included or addressed in the renewed agreement, the franchise agreement will be the subject of a public hearing</w:t>
      </w:r>
      <w:r w:rsidR="00111D84">
        <w:rPr>
          <w:rFonts w:eastAsia="Calibri" w:cs="Calibri"/>
          <w:szCs w:val="22"/>
        </w:rPr>
        <w:t>,</w:t>
      </w:r>
      <w:r w:rsidRPr="00705C29">
        <w:rPr>
          <w:rFonts w:eastAsia="Calibri" w:cs="Calibri"/>
          <w:szCs w:val="22"/>
        </w:rPr>
        <w:t xml:space="preserve"> and</w:t>
      </w:r>
      <w:r w:rsidR="00111D84">
        <w:rPr>
          <w:rFonts w:eastAsia="Calibri" w:cs="Calibri"/>
          <w:szCs w:val="22"/>
        </w:rPr>
        <w:t xml:space="preserve"> </w:t>
      </w:r>
      <w:r w:rsidRPr="00705C29">
        <w:rPr>
          <w:rFonts w:eastAsia="Calibri" w:cs="Calibri"/>
          <w:szCs w:val="22"/>
        </w:rPr>
        <w:t>ultimately approval</w:t>
      </w:r>
      <w:r w:rsidR="00111D84">
        <w:rPr>
          <w:rFonts w:eastAsia="Calibri" w:cs="Calibri"/>
          <w:szCs w:val="22"/>
        </w:rPr>
        <w:t>,</w:t>
      </w:r>
      <w:r w:rsidRPr="00705C29">
        <w:rPr>
          <w:rFonts w:eastAsia="Calibri" w:cs="Calibri"/>
          <w:szCs w:val="22"/>
        </w:rPr>
        <w:t xml:space="preserve"> by the Board of Commissioners at a regular board meeting.</w:t>
      </w:r>
    </w:p>
    <w:p w14:paraId="1F520609" w14:textId="77777777" w:rsidR="00007E3F" w:rsidRPr="000C7057" w:rsidRDefault="00007E3F" w:rsidP="00007E3F">
      <w:pPr>
        <w:spacing w:after="120" w:line="240" w:lineRule="auto"/>
        <w:ind w:left="1267" w:hanging="1267"/>
      </w:pPr>
      <w:r w:rsidRPr="00C80B20">
        <w:rPr>
          <w:rFonts w:eastAsia="Calibri" w:cs="Calibri"/>
          <w:b/>
          <w:bCs/>
          <w:szCs w:val="22"/>
        </w:rPr>
        <w:t>LLU R-7</w:t>
      </w:r>
      <w:r w:rsidRPr="000C7057">
        <w:rPr>
          <w:rFonts w:eastAsia="Calibri" w:cs="Calibri"/>
          <w:szCs w:val="22"/>
        </w:rPr>
        <w:tab/>
        <w:t xml:space="preserve">Per LLU F-5 and F-20b, because </w:t>
      </w:r>
      <w:r w:rsidRPr="000C7057">
        <w:t>existing and past operations are not within the County’s scope of review of a new conditional use permit application south of Coffin Butte Road, the subcommittee recommends that the County decision-makers prioritize addressing topics that would be relevant to review of a new CUP application and de-prioritize in-depth evaluation of existing and past operating approvals.</w:t>
      </w:r>
    </w:p>
    <w:p w14:paraId="28BE5725" w14:textId="37864A4B" w:rsidR="00007E3F" w:rsidRPr="0030094A" w:rsidRDefault="00007E3F" w:rsidP="00007E3F">
      <w:pPr>
        <w:spacing w:after="120" w:line="240" w:lineRule="auto"/>
        <w:ind w:left="1267" w:hanging="1267"/>
        <w:rPr>
          <w:rFonts w:eastAsia="Calibri" w:cs="Calibri"/>
          <w:szCs w:val="22"/>
        </w:rPr>
      </w:pPr>
      <w:r w:rsidRPr="00DA1BFF">
        <w:rPr>
          <w:rFonts w:eastAsia="Calibri" w:cs="Calibri"/>
          <w:b/>
          <w:bCs/>
          <w:szCs w:val="22"/>
        </w:rPr>
        <w:lastRenderedPageBreak/>
        <w:t>LLU R-8</w:t>
      </w:r>
      <w:r w:rsidRPr="0030094A">
        <w:rPr>
          <w:rFonts w:eastAsia="Calibri" w:cs="Calibri"/>
          <w:szCs w:val="22"/>
        </w:rPr>
        <w:tab/>
        <w:t>Benton County should evaluate its existing system regarding compliance monitoring and enforcement to determine if there are sufficient mechanisms in place to ensure compliance with conditions of approval that the County imposes on land use approvals and</w:t>
      </w:r>
      <w:r w:rsidR="00AD3FE3">
        <w:rPr>
          <w:rFonts w:eastAsia="Calibri" w:cs="Calibri"/>
          <w:szCs w:val="22"/>
        </w:rPr>
        <w:t>,</w:t>
      </w:r>
      <w:r w:rsidRPr="0030094A">
        <w:rPr>
          <w:rFonts w:eastAsia="Calibri" w:cs="Calibri"/>
          <w:szCs w:val="22"/>
        </w:rPr>
        <w:t xml:space="preserve"> if not, recommend improvements.  Elements of such an evaluation could include: </w:t>
      </w:r>
    </w:p>
    <w:p w14:paraId="2921F20C" w14:textId="77777777" w:rsidR="00007E3F" w:rsidRDefault="00007E3F" w:rsidP="00007E3F">
      <w:pPr>
        <w:pStyle w:val="ListParagraph"/>
        <w:numPr>
          <w:ilvl w:val="0"/>
          <w:numId w:val="3"/>
        </w:numPr>
        <w:spacing w:after="120" w:line="240" w:lineRule="auto"/>
        <w:contextualSpacing w:val="0"/>
        <w:rPr>
          <w:rFonts w:eastAsia="Calibri" w:cs="Calibri"/>
          <w:szCs w:val="22"/>
        </w:rPr>
      </w:pPr>
      <w:r>
        <w:rPr>
          <w:rFonts w:eastAsia="Calibri" w:cs="Calibri"/>
          <w:szCs w:val="22"/>
        </w:rPr>
        <w:t>What enforcement mechanisms exist within the County Code?</w:t>
      </w:r>
    </w:p>
    <w:p w14:paraId="164F7467" w14:textId="77777777" w:rsidR="00007E3F" w:rsidRDefault="00007E3F" w:rsidP="00007E3F">
      <w:pPr>
        <w:pStyle w:val="ListParagraph"/>
        <w:numPr>
          <w:ilvl w:val="0"/>
          <w:numId w:val="3"/>
        </w:numPr>
        <w:spacing w:after="120" w:line="240" w:lineRule="auto"/>
        <w:contextualSpacing w:val="0"/>
        <w:rPr>
          <w:rFonts w:eastAsia="Calibri" w:cs="Calibri"/>
          <w:szCs w:val="22"/>
        </w:rPr>
      </w:pPr>
      <w:r>
        <w:rPr>
          <w:rFonts w:eastAsia="Calibri" w:cs="Calibri"/>
          <w:szCs w:val="22"/>
        </w:rPr>
        <w:t>Is there a mandamus option or a private right of action option?</w:t>
      </w:r>
    </w:p>
    <w:p w14:paraId="0131562F" w14:textId="77777777" w:rsidR="00007E3F" w:rsidRDefault="00007E3F" w:rsidP="00007E3F">
      <w:pPr>
        <w:pStyle w:val="ListParagraph"/>
        <w:numPr>
          <w:ilvl w:val="0"/>
          <w:numId w:val="3"/>
        </w:numPr>
        <w:spacing w:after="120" w:line="240" w:lineRule="auto"/>
        <w:contextualSpacing w:val="0"/>
        <w:rPr>
          <w:rFonts w:eastAsia="Calibri" w:cs="Calibri"/>
          <w:szCs w:val="22"/>
        </w:rPr>
      </w:pPr>
      <w:r>
        <w:rPr>
          <w:rFonts w:eastAsia="Calibri" w:cs="Calibri"/>
          <w:szCs w:val="22"/>
        </w:rPr>
        <w:t>What is missing?</w:t>
      </w:r>
    </w:p>
    <w:p w14:paraId="5CC3F67B" w14:textId="77777777" w:rsidR="00007E3F" w:rsidRDefault="00007E3F" w:rsidP="00007E3F">
      <w:pPr>
        <w:pStyle w:val="ListParagraph"/>
        <w:numPr>
          <w:ilvl w:val="0"/>
          <w:numId w:val="3"/>
        </w:numPr>
        <w:spacing w:after="120" w:line="240" w:lineRule="auto"/>
        <w:contextualSpacing w:val="0"/>
        <w:rPr>
          <w:rFonts w:eastAsia="Calibri" w:cs="Calibri"/>
          <w:szCs w:val="22"/>
        </w:rPr>
      </w:pPr>
      <w:r>
        <w:rPr>
          <w:rFonts w:eastAsia="Calibri" w:cs="Calibri"/>
          <w:szCs w:val="22"/>
        </w:rPr>
        <w:t>What provisions and procedures do other counties have, particularly counties that host a privately operated landfill?</w:t>
      </w:r>
    </w:p>
    <w:p w14:paraId="5ED9FB70" w14:textId="15CE3A03" w:rsidR="00007E3F" w:rsidRDefault="00007E3F" w:rsidP="00007E3F"/>
    <w:p w14:paraId="23944468" w14:textId="0A110FEB" w:rsidR="00007E3F" w:rsidRDefault="00007E3F" w:rsidP="00007E3F"/>
    <w:p w14:paraId="4B9C5E72" w14:textId="48E01E78" w:rsidR="00007E3F" w:rsidRDefault="00007E3F" w:rsidP="00007E3F"/>
    <w:p w14:paraId="58FDC060" w14:textId="19CA1A77" w:rsidR="00007E3F" w:rsidRDefault="00007E3F" w:rsidP="00007E3F"/>
    <w:p w14:paraId="7965F6CF" w14:textId="57BA4A26" w:rsidR="00007E3F" w:rsidRDefault="00007E3F" w:rsidP="00007E3F"/>
    <w:p w14:paraId="20BB83D3" w14:textId="54BCFE55" w:rsidR="00007E3F" w:rsidRDefault="00007E3F" w:rsidP="00007E3F"/>
    <w:p w14:paraId="7175E40F" w14:textId="52BB03D7" w:rsidR="00007E3F" w:rsidRDefault="00007E3F" w:rsidP="00007E3F"/>
    <w:p w14:paraId="6B8F3AA0" w14:textId="70C8FF10" w:rsidR="00007E3F" w:rsidRDefault="00007E3F" w:rsidP="00007E3F"/>
    <w:p w14:paraId="69EDFB3A" w14:textId="69CBC7FE" w:rsidR="00007E3F" w:rsidRDefault="00007E3F" w:rsidP="00007E3F"/>
    <w:p w14:paraId="49C45901" w14:textId="0C974D43" w:rsidR="00007E3F" w:rsidRDefault="00007E3F" w:rsidP="00007E3F"/>
    <w:p w14:paraId="237BCB46" w14:textId="5F31FE4A" w:rsidR="00007E3F" w:rsidRDefault="00007E3F" w:rsidP="00007E3F"/>
    <w:p w14:paraId="1BF55020" w14:textId="2D0F9D0A" w:rsidR="00007E3F" w:rsidRDefault="00007E3F" w:rsidP="00007E3F"/>
    <w:p w14:paraId="0C335180" w14:textId="77777777" w:rsidR="00007E3F" w:rsidRDefault="00007E3F">
      <w:pPr>
        <w:rPr>
          <w:rFonts w:eastAsia="Times New Roman" w:cstheme="majorBidi"/>
          <w:color w:val="2F5496" w:themeColor="accent1" w:themeShade="BF"/>
          <w:sz w:val="32"/>
          <w:szCs w:val="32"/>
        </w:rPr>
      </w:pPr>
      <w:r>
        <w:br w:type="page"/>
      </w:r>
    </w:p>
    <w:p w14:paraId="4B085210" w14:textId="3DDFA2E9" w:rsidR="00007E3F" w:rsidRDefault="00007E3F" w:rsidP="008501DA">
      <w:pPr>
        <w:pStyle w:val="Heading1"/>
        <w:jc w:val="center"/>
      </w:pPr>
      <w:bookmarkStart w:id="4" w:name="_Toc127990006"/>
      <w:r>
        <w:lastRenderedPageBreak/>
        <w:t>Compliance with Past Land Use Actions Subcommittee</w:t>
      </w:r>
      <w:bookmarkEnd w:id="4"/>
    </w:p>
    <w:p w14:paraId="7C12A04F" w14:textId="719CF780" w:rsidR="00007E3F" w:rsidRDefault="00007E3F" w:rsidP="00007E3F"/>
    <w:p w14:paraId="210D25AF" w14:textId="77777777" w:rsidR="00007E3F" w:rsidRPr="006E546C" w:rsidRDefault="00007E3F" w:rsidP="00007E3F">
      <w:pPr>
        <w:pStyle w:val="BCTTStyle3"/>
        <w:numPr>
          <w:ilvl w:val="0"/>
          <w:numId w:val="0"/>
        </w:numPr>
        <w:ind w:left="360" w:hanging="360"/>
        <w:rPr>
          <w:rFonts w:cstheme="minorHAnsi"/>
          <w:szCs w:val="22"/>
        </w:rPr>
      </w:pPr>
      <w:bookmarkStart w:id="5" w:name="_Toc126760241"/>
      <w:bookmarkStart w:id="6" w:name="_Toc127364735"/>
      <w:r w:rsidRPr="006E546C">
        <w:rPr>
          <w:rFonts w:cstheme="minorHAnsi"/>
          <w:szCs w:val="22"/>
        </w:rPr>
        <w:t>Key Findings:</w:t>
      </w:r>
      <w:bookmarkEnd w:id="5"/>
      <w:bookmarkEnd w:id="6"/>
      <w:r w:rsidRPr="006E546C">
        <w:rPr>
          <w:rFonts w:cstheme="minorHAnsi"/>
          <w:szCs w:val="22"/>
        </w:rPr>
        <w:t xml:space="preserve"> </w:t>
      </w:r>
    </w:p>
    <w:p w14:paraId="106B6F23" w14:textId="4B7C1F24" w:rsidR="00007E3F" w:rsidRPr="006E546C" w:rsidRDefault="00007E3F" w:rsidP="00007E3F">
      <w:pPr>
        <w:spacing w:after="240" w:line="240" w:lineRule="auto"/>
        <w:rPr>
          <w:rFonts w:eastAsia="Calibri" w:cstheme="minorHAnsi"/>
          <w:bCs/>
          <w:i/>
          <w:iCs/>
          <w:szCs w:val="22"/>
        </w:rPr>
      </w:pPr>
      <w:r w:rsidRPr="006E546C">
        <w:rPr>
          <w:rFonts w:eastAsia="Calibri" w:cstheme="minorHAnsi"/>
          <w:bCs/>
          <w:i/>
          <w:iCs/>
          <w:szCs w:val="22"/>
        </w:rPr>
        <w:t xml:space="preserve">A review of the extensive number of land use decisions and associated conditions of approval reveals some overarching key findings </w:t>
      </w:r>
      <w:r w:rsidR="00AD3FE3">
        <w:rPr>
          <w:rFonts w:eastAsia="Calibri" w:cstheme="minorHAnsi"/>
          <w:bCs/>
          <w:i/>
          <w:iCs/>
          <w:szCs w:val="22"/>
        </w:rPr>
        <w:t>about</w:t>
      </w:r>
      <w:r w:rsidRPr="006E546C">
        <w:rPr>
          <w:rFonts w:eastAsia="Calibri" w:cstheme="minorHAnsi"/>
          <w:bCs/>
          <w:i/>
          <w:iCs/>
          <w:szCs w:val="22"/>
        </w:rPr>
        <w:t xml:space="preserve"> how land use decisions for the landfill, the quarry, power generation, and associated uses are implemented in Benton County</w:t>
      </w:r>
      <w:r w:rsidR="006E546C" w:rsidRPr="006E546C">
        <w:rPr>
          <w:rFonts w:eastAsia="Calibri" w:cstheme="minorHAnsi"/>
          <w:bCs/>
          <w:i/>
          <w:iCs/>
          <w:szCs w:val="22"/>
        </w:rPr>
        <w:t>.</w:t>
      </w:r>
    </w:p>
    <w:p w14:paraId="3ACFD64E" w14:textId="36598EA9" w:rsidR="006E546C" w:rsidRPr="006E546C" w:rsidRDefault="006E546C" w:rsidP="006E546C">
      <w:pPr>
        <w:numPr>
          <w:ilvl w:val="0"/>
          <w:numId w:val="7"/>
        </w:numPr>
        <w:spacing w:after="120" w:line="240" w:lineRule="auto"/>
        <w:ind w:left="1080" w:hanging="1080"/>
        <w:rPr>
          <w:rFonts w:eastAsia="Calibri" w:cs="Arial"/>
          <w:b/>
          <w:szCs w:val="22"/>
        </w:rPr>
      </w:pPr>
      <w:r w:rsidRPr="006E546C">
        <w:rPr>
          <w:rFonts w:eastAsia="Calibri" w:cs="Calibri"/>
          <w:szCs w:val="22"/>
        </w:rPr>
        <w:t>All County materials reviewed reflect historical information and/or decisions from public processes (e.g., meetings, hearings, advertisement notices, etc.) based on public input and approval by appropriately authorized public planning boards.</w:t>
      </w:r>
    </w:p>
    <w:p w14:paraId="525D4BD8" w14:textId="2CCC5805" w:rsidR="006E546C" w:rsidRPr="006E546C" w:rsidRDefault="006E546C" w:rsidP="006E546C">
      <w:pPr>
        <w:numPr>
          <w:ilvl w:val="0"/>
          <w:numId w:val="7"/>
        </w:numPr>
        <w:spacing w:after="120" w:line="240" w:lineRule="auto"/>
        <w:ind w:left="1080" w:hanging="1080"/>
        <w:rPr>
          <w:rFonts w:eastAsia="Calibri" w:cs="Calibri"/>
          <w:szCs w:val="22"/>
        </w:rPr>
      </w:pPr>
      <w:r w:rsidRPr="006E546C">
        <w:rPr>
          <w:rFonts w:eastAsia="Calibri" w:cs="Calibri"/>
          <w:szCs w:val="22"/>
        </w:rPr>
        <w:t>For over 50 years, Conditional Use Approvals have been the basis for the public’s understanding of many aspects of the landfill</w:t>
      </w:r>
      <w:r w:rsidR="00AD3FE3">
        <w:rPr>
          <w:rFonts w:eastAsia="Calibri" w:cs="Calibri"/>
          <w:szCs w:val="22"/>
        </w:rPr>
        <w:t>,</w:t>
      </w:r>
      <w:r w:rsidRPr="006E546C">
        <w:rPr>
          <w:rFonts w:eastAsia="Calibri" w:cs="Calibri"/>
          <w:szCs w:val="22"/>
        </w:rPr>
        <w:t xml:space="preserve"> including but not limited to: hours of operation, management of noise, screening of the site from view, how the site should look, and how the site can be used after the landfill is closed.</w:t>
      </w:r>
    </w:p>
    <w:p w14:paraId="603391AE" w14:textId="77777777"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t>Reports are required to be submitted and maintained for the public record.  An extensive review of the existing records was not conducted due to time constraints.</w:t>
      </w:r>
    </w:p>
    <w:p w14:paraId="3568B5D9" w14:textId="77777777" w:rsidR="006E546C" w:rsidRPr="006E546C" w:rsidRDefault="006E546C" w:rsidP="006E546C">
      <w:pPr>
        <w:numPr>
          <w:ilvl w:val="0"/>
          <w:numId w:val="7"/>
        </w:numPr>
        <w:spacing w:after="120" w:line="240" w:lineRule="auto"/>
        <w:ind w:left="1080" w:hanging="1080"/>
        <w:rPr>
          <w:rFonts w:eastAsia="Calibri" w:cs="Calibri"/>
          <w:szCs w:val="22"/>
        </w:rPr>
      </w:pPr>
      <w:r w:rsidRPr="006E546C">
        <w:rPr>
          <w:rFonts w:eastAsia="Calibri" w:cs="Calibri"/>
          <w:szCs w:val="22"/>
        </w:rPr>
        <w:t>Compliance with Conditions of Approval often involves a direction from the County that the Applicant should obtain permits from other entities such as, but not limited to, state agencies.</w:t>
      </w:r>
    </w:p>
    <w:p w14:paraId="0D15266B" w14:textId="24C2B0E1" w:rsidR="006E546C" w:rsidRPr="006E546C" w:rsidRDefault="006E546C" w:rsidP="006E546C">
      <w:pPr>
        <w:numPr>
          <w:ilvl w:val="0"/>
          <w:numId w:val="7"/>
        </w:numPr>
        <w:spacing w:after="120" w:line="240" w:lineRule="auto"/>
        <w:ind w:left="1080" w:hanging="1080"/>
        <w:rPr>
          <w:rFonts w:eastAsia="Calibri" w:cs="Calibri"/>
          <w:szCs w:val="22"/>
        </w:rPr>
      </w:pPr>
      <w:r w:rsidRPr="006E546C">
        <w:rPr>
          <w:rFonts w:eastAsia="Calibri" w:cs="Calibri"/>
          <w:szCs w:val="22"/>
        </w:rPr>
        <w:t>Benton County has not and does not actively monitor compliance with many conditions of approval</w:t>
      </w:r>
      <w:r w:rsidR="00AD3FE3">
        <w:rPr>
          <w:rFonts w:eastAsia="Calibri" w:cs="Calibri"/>
          <w:szCs w:val="22"/>
        </w:rPr>
        <w:t>,</w:t>
      </w:r>
      <w:r w:rsidRPr="006E546C">
        <w:rPr>
          <w:rFonts w:eastAsia="Calibri" w:cs="Calibri"/>
          <w:szCs w:val="22"/>
        </w:rPr>
        <w:t xml:space="preserve"> nor does it proactively act to enforce compliance.</w:t>
      </w:r>
    </w:p>
    <w:p w14:paraId="7F6F8F83" w14:textId="77777777" w:rsidR="006E546C" w:rsidRPr="006E546C" w:rsidRDefault="006E546C" w:rsidP="006E546C">
      <w:pPr>
        <w:numPr>
          <w:ilvl w:val="0"/>
          <w:numId w:val="7"/>
        </w:numPr>
        <w:spacing w:after="120" w:line="240" w:lineRule="auto"/>
        <w:ind w:left="1080" w:hanging="1080"/>
        <w:rPr>
          <w:rFonts w:eastAsia="Calibri" w:cs="Calibri"/>
          <w:szCs w:val="22"/>
        </w:rPr>
      </w:pPr>
      <w:r w:rsidRPr="006E546C">
        <w:rPr>
          <w:rFonts w:eastAsia="Calibri" w:cs="Calibri"/>
          <w:szCs w:val="22"/>
        </w:rPr>
        <w:t>Benton County relies on complaints to initiate action to enforce conditions of approval for the landfill.</w:t>
      </w:r>
    </w:p>
    <w:p w14:paraId="75E1A114" w14:textId="77777777" w:rsidR="006E546C" w:rsidRPr="006E546C" w:rsidRDefault="006E546C" w:rsidP="006E546C">
      <w:pPr>
        <w:numPr>
          <w:ilvl w:val="0"/>
          <w:numId w:val="7"/>
        </w:numPr>
        <w:spacing w:after="120" w:line="240" w:lineRule="auto"/>
        <w:ind w:left="1080" w:hanging="1080"/>
        <w:rPr>
          <w:rFonts w:eastAsia="Calibri" w:cs="Calibri"/>
          <w:szCs w:val="22"/>
        </w:rPr>
      </w:pPr>
      <w:r w:rsidRPr="006E546C">
        <w:rPr>
          <w:rFonts w:eastAsia="Calibri" w:cs="Calibri"/>
          <w:szCs w:val="22"/>
        </w:rPr>
        <w:t>Benton County did not and does not have a readily accessible, transparent complaint tracking system known to the public in place to receive and record land use complaints for documentation, investigation, and resolution.</w:t>
      </w:r>
    </w:p>
    <w:p w14:paraId="6BED6C48" w14:textId="77777777" w:rsidR="006E546C" w:rsidRPr="006E546C" w:rsidRDefault="006E546C" w:rsidP="006E546C">
      <w:pPr>
        <w:numPr>
          <w:ilvl w:val="0"/>
          <w:numId w:val="7"/>
        </w:numPr>
        <w:spacing w:after="120" w:line="240" w:lineRule="auto"/>
        <w:ind w:left="1080" w:hanging="1080"/>
        <w:rPr>
          <w:rFonts w:eastAsia="Calibri" w:cs="Arial"/>
          <w:szCs w:val="22"/>
        </w:rPr>
      </w:pPr>
      <w:r w:rsidRPr="006E546C">
        <w:rPr>
          <w:rFonts w:eastAsia="Calibri" w:cs="Calibri"/>
          <w:szCs w:val="22"/>
        </w:rPr>
        <w:t>In assessing the status of compliance with past land use documents, there are numerous instances where supporting evidence may not or is not available in County records.</w:t>
      </w:r>
    </w:p>
    <w:p w14:paraId="0E5FF547" w14:textId="1A2ABBBA"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t xml:space="preserve">Benton County does not review reports and other </w:t>
      </w:r>
      <w:r w:rsidR="00AD3FE3">
        <w:rPr>
          <w:rFonts w:eastAsia="Calibri" w:cs="Calibri"/>
          <w:szCs w:val="22"/>
        </w:rPr>
        <w:t>submitted materials</w:t>
      </w:r>
      <w:r w:rsidRPr="006E546C">
        <w:rPr>
          <w:rFonts w:eastAsia="Calibri" w:cs="Calibri"/>
          <w:szCs w:val="22"/>
        </w:rPr>
        <w:t xml:space="preserve"> as required per conditions of approval. Examples include: copies of water quality and air quality permits, emergency plans, permit submittals, financial assurance statements, etc., and data produced from associated monitoring programs required of the applicant by the Oregon Department of Environmental Quality or other governmental agencies.</w:t>
      </w:r>
    </w:p>
    <w:p w14:paraId="125166A8" w14:textId="3D00267A"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t xml:space="preserve">When Benton County issued the land use approvals </w:t>
      </w:r>
      <w:r w:rsidR="00AD3FE3">
        <w:rPr>
          <w:rFonts w:eastAsia="Calibri" w:cs="Calibri"/>
          <w:szCs w:val="22"/>
        </w:rPr>
        <w:t>before</w:t>
      </w:r>
      <w:r w:rsidRPr="006E546C">
        <w:rPr>
          <w:rFonts w:eastAsia="Calibri" w:cs="Calibri"/>
          <w:szCs w:val="22"/>
        </w:rPr>
        <w:t xml:space="preserve"> the applicant </w:t>
      </w:r>
      <w:r w:rsidR="00765448">
        <w:rPr>
          <w:rFonts w:eastAsia="Calibri" w:cs="Calibri"/>
          <w:szCs w:val="22"/>
        </w:rPr>
        <w:t>was</w:t>
      </w:r>
      <w:r w:rsidRPr="006E546C">
        <w:rPr>
          <w:rFonts w:eastAsia="Calibri" w:cs="Calibri"/>
          <w:szCs w:val="22"/>
        </w:rPr>
        <w:t xml:space="preserve"> granted necessary operating permits from multiple State agencies, the County </w:t>
      </w:r>
      <w:r w:rsidRPr="006E546C">
        <w:rPr>
          <w:rFonts w:eastAsia="Calibri" w:cs="Calibri"/>
          <w:szCs w:val="22"/>
        </w:rPr>
        <w:lastRenderedPageBreak/>
        <w:t xml:space="preserve">advised the applicant that those permits were required but did not check that those required permits were procured by the applicant, </w:t>
      </w:r>
      <w:r w:rsidR="00765448">
        <w:rPr>
          <w:rFonts w:eastAsia="Calibri" w:cs="Calibri"/>
          <w:szCs w:val="22"/>
        </w:rPr>
        <w:t>except</w:t>
      </w:r>
      <w:r w:rsidRPr="006E546C">
        <w:rPr>
          <w:rFonts w:eastAsia="Calibri" w:cs="Calibri"/>
          <w:szCs w:val="22"/>
        </w:rPr>
        <w:t xml:space="preserve"> the DEQ permits. </w:t>
      </w:r>
    </w:p>
    <w:p w14:paraId="57DC07E8" w14:textId="77777777" w:rsidR="006E546C" w:rsidRPr="006E546C" w:rsidRDefault="006E546C" w:rsidP="006E546C">
      <w:pPr>
        <w:numPr>
          <w:ilvl w:val="0"/>
          <w:numId w:val="7"/>
        </w:numPr>
        <w:spacing w:after="120"/>
        <w:ind w:left="1080" w:hanging="1080"/>
        <w:rPr>
          <w:rFonts w:eastAsia="Calibri" w:cs="Calibri"/>
          <w:szCs w:val="22"/>
        </w:rPr>
      </w:pPr>
      <w:bookmarkStart w:id="7" w:name="_Toc126760242"/>
      <w:bookmarkStart w:id="8" w:name="_Toc127364736"/>
      <w:r w:rsidRPr="006E546C">
        <w:rPr>
          <w:rFonts w:eastAsia="Calibri" w:cs="Calibri"/>
          <w:szCs w:val="22"/>
        </w:rPr>
        <w:t>The subcommittee did not reach a consensus on whether the Site Plan and Narrative included in the applicant submittals for PC 83-07/L-83-07 are regulatory such that they require compliance. The public members believe they are enforceable. The County and Republic members believe they are not enforceable. A detailed analysis of these positions can be found at XXXXXXXXXXX and XXXXXXXXXXXX.</w:t>
      </w:r>
    </w:p>
    <w:p w14:paraId="2F28370F" w14:textId="77777777" w:rsidR="006E546C" w:rsidRPr="006E546C" w:rsidRDefault="006E546C" w:rsidP="006E546C">
      <w:pPr>
        <w:pStyle w:val="ListParagraph"/>
        <w:numPr>
          <w:ilvl w:val="0"/>
          <w:numId w:val="7"/>
        </w:numPr>
        <w:spacing w:after="240" w:line="240" w:lineRule="auto"/>
        <w:ind w:left="1080" w:hanging="1080"/>
        <w:rPr>
          <w:rFonts w:eastAsia="Calibri" w:cs="Calibri"/>
          <w:bCs/>
          <w:szCs w:val="22"/>
        </w:rPr>
      </w:pPr>
      <w:r w:rsidRPr="006E546C">
        <w:rPr>
          <w:rFonts w:cstheme="minorHAnsi"/>
          <w:szCs w:val="22"/>
        </w:rPr>
        <w:t>[Pending] The subcommittee did not reach a consensus on the applicability and the authority of the 2002 MOU found XXXXXX and how they may affect conditions of approval pre-2002. (</w:t>
      </w:r>
      <w:r w:rsidRPr="006E546C">
        <w:rPr>
          <w:rFonts w:cstheme="minorHAnsi"/>
          <w:b/>
          <w:bCs/>
          <w:szCs w:val="22"/>
        </w:rPr>
        <w:t>Republic</w:t>
      </w:r>
      <w:r w:rsidRPr="006E546C">
        <w:rPr>
          <w:rFonts w:cstheme="minorHAnsi"/>
          <w:szCs w:val="22"/>
        </w:rPr>
        <w:t xml:space="preserve"> believes the </w:t>
      </w:r>
      <w:r w:rsidRPr="006E546C">
        <w:rPr>
          <w:rFonts w:eastAsia="Calibri" w:cs="Calibri"/>
          <w:szCs w:val="22"/>
        </w:rPr>
        <w:t xml:space="preserve">Site Plan and Narrative are not regulatory conditions by their terms and could not have been imposed as conditions because they were not created or submitted until after the Board of Commissioners made the final decision approving the expansion.  Regardless, such conditions are rendered moot by subsequent modifications and the 2002 Memorandum of Understanding. The </w:t>
      </w:r>
      <w:r w:rsidRPr="006E546C">
        <w:rPr>
          <w:rFonts w:eastAsia="Calibri" w:cs="Calibri"/>
          <w:b/>
          <w:bCs/>
          <w:szCs w:val="22"/>
        </w:rPr>
        <w:t>public members</w:t>
      </w:r>
      <w:r w:rsidRPr="006E546C">
        <w:rPr>
          <w:rFonts w:eastAsia="Calibri" w:cs="Calibri"/>
          <w:szCs w:val="22"/>
        </w:rPr>
        <w:t xml:space="preserve"> </w:t>
      </w:r>
      <w:r w:rsidRPr="006E546C">
        <w:rPr>
          <w:rFonts w:eastAsia="Calibri" w:cs="Calibri"/>
          <w:bCs/>
          <w:szCs w:val="22"/>
        </w:rPr>
        <w:t>believe the Site Plan and Narrative are regulatory conditions that require compliance. This was addressed during the CUP review process. See 83-07 analysis and supporting documents shared with the members and BCTT on December 9, 2022, and Legal Subcommittee members on 5 January 2023. The relevance of the 2002 MOU remains in dispute.)</w:t>
      </w:r>
    </w:p>
    <w:p w14:paraId="34D503E1" w14:textId="7A11C0F0"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t>[Pending] Generally, DEQ has jurisdiction over many environmental impacts</w:t>
      </w:r>
      <w:r w:rsidR="00765448">
        <w:rPr>
          <w:rFonts w:eastAsia="Calibri" w:cs="Calibri"/>
          <w:szCs w:val="22"/>
        </w:rPr>
        <w:t>,</w:t>
      </w:r>
      <w:r w:rsidRPr="006E546C">
        <w:rPr>
          <w:rFonts w:eastAsia="Calibri" w:cs="Calibri"/>
          <w:szCs w:val="22"/>
        </w:rPr>
        <w:t xml:space="preserve"> and the County has jurisdiction over the land use impacts.  The line between “environmental impact” and “land use” is not always clear and may lead to conflicting perceptions of what is to be done. The subcommittee did not reach a consensus on this matter. For example, as a remedy for groundwater contamination at the site, DEQ requires the purchase of land to limit the public’s exposure to contaminated water (RCRA Corrective Action decision)</w:t>
      </w:r>
      <w:r w:rsidR="002549D2">
        <w:rPr>
          <w:rFonts w:eastAsia="Calibri" w:cs="Calibri"/>
          <w:szCs w:val="22"/>
        </w:rPr>
        <w:t>,</w:t>
      </w:r>
      <w:r w:rsidRPr="006E546C">
        <w:rPr>
          <w:rFonts w:eastAsia="Calibri" w:cs="Calibri"/>
          <w:szCs w:val="22"/>
        </w:rPr>
        <w:t xml:space="preserve"> which may or may not adversely impact neighboring County approved land uses. In another situation, the County publicly agreed to limitations on the appearance and uses of the closed landfill, but these are not reflected in Republic’s current DEQ-required site closure plans. These plans are the basis of DEQ’s required Financial Assurance filing that would fund the </w:t>
      </w:r>
      <w:r w:rsidR="00797333">
        <w:rPr>
          <w:rFonts w:eastAsia="Calibri" w:cs="Calibri"/>
          <w:szCs w:val="22"/>
        </w:rPr>
        <w:t>landfill’s closure if Republic could not</w:t>
      </w:r>
      <w:r w:rsidRPr="006E546C">
        <w:rPr>
          <w:rFonts w:eastAsia="Calibri" w:cs="Calibri"/>
          <w:szCs w:val="22"/>
        </w:rPr>
        <w:t xml:space="preserve"> do so. The </w:t>
      </w:r>
      <w:r w:rsidR="002549D2">
        <w:rPr>
          <w:rFonts w:eastAsia="Calibri" w:cs="Calibri"/>
          <w:szCs w:val="22"/>
        </w:rPr>
        <w:t>DEQ-required</w:t>
      </w:r>
      <w:r w:rsidRPr="006E546C">
        <w:rPr>
          <w:rFonts w:eastAsia="Calibri" w:cs="Calibri"/>
          <w:szCs w:val="22"/>
        </w:rPr>
        <w:t xml:space="preserve"> plan and Financial Assurance from Republic </w:t>
      </w:r>
      <w:r w:rsidR="00765448">
        <w:rPr>
          <w:rFonts w:eastAsia="Calibri" w:cs="Calibri"/>
          <w:szCs w:val="22"/>
        </w:rPr>
        <w:t>must</w:t>
      </w:r>
      <w:r w:rsidRPr="006E546C">
        <w:rPr>
          <w:rFonts w:eastAsia="Calibri" w:cs="Calibri"/>
          <w:szCs w:val="22"/>
        </w:rPr>
        <w:t xml:space="preserve"> address County land use requirements </w:t>
      </w:r>
      <w:r w:rsidR="00765448" w:rsidRPr="00765448">
        <w:rPr>
          <w:rFonts w:eastAsia="Calibri" w:cs="Calibri"/>
          <w:szCs w:val="22"/>
        </w:rPr>
        <w:t xml:space="preserve">to </w:t>
      </w:r>
      <w:r w:rsidR="002549D2">
        <w:rPr>
          <w:rFonts w:eastAsia="Calibri" w:cs="Calibri"/>
          <w:szCs w:val="22"/>
        </w:rPr>
        <w:t>adequately fund the site’s reclamation</w:t>
      </w:r>
      <w:r w:rsidRPr="006E546C">
        <w:rPr>
          <w:rFonts w:eastAsia="Calibri" w:cs="Calibri"/>
          <w:szCs w:val="22"/>
        </w:rPr>
        <w:t>. (</w:t>
      </w:r>
      <w:r w:rsidRPr="006E546C">
        <w:rPr>
          <w:rFonts w:eastAsia="Calibri" w:cs="Calibri"/>
          <w:b/>
          <w:bCs/>
          <w:szCs w:val="22"/>
        </w:rPr>
        <w:t xml:space="preserve">Republic </w:t>
      </w:r>
      <w:r w:rsidRPr="006E546C">
        <w:rPr>
          <w:rFonts w:eastAsia="Calibri" w:cs="Calibri"/>
          <w:szCs w:val="22"/>
        </w:rPr>
        <w:t xml:space="preserve">states this is an allocation of resources question for the County, and the County would have to treat the landfill consistently with other industrial, agricultural, and forestry operations that can have similar or great impacts.  This would require significant analysis </w:t>
      </w:r>
      <w:r w:rsidR="001148FC">
        <w:rPr>
          <w:rFonts w:eastAsia="Calibri" w:cs="Calibri"/>
          <w:szCs w:val="22"/>
        </w:rPr>
        <w:t>before</w:t>
      </w:r>
      <w:r w:rsidRPr="006E546C">
        <w:rPr>
          <w:rFonts w:eastAsia="Calibri" w:cs="Calibri"/>
          <w:szCs w:val="22"/>
        </w:rPr>
        <w:t xml:space="preserve"> implementation to avoid negative or unintended consequences.)</w:t>
      </w:r>
    </w:p>
    <w:p w14:paraId="6B02A8E0" w14:textId="77777777"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lastRenderedPageBreak/>
        <w:t>[Pending] There is a public burden associated with leachate from the landfill site on traffic safety, road maintenance, public wastewater treatment plants (Corvallis, Salem), and the Willamette River (water quality, sediments, wildlife, etc.).</w:t>
      </w:r>
    </w:p>
    <w:p w14:paraId="601586EB" w14:textId="2559B3B5"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t>Currently, it is not clear to the public what appropriate reclamation will look like for the ultimate disposition of the landfill. (</w:t>
      </w:r>
      <w:r w:rsidRPr="006E546C">
        <w:rPr>
          <w:rFonts w:eastAsia="Calibri" w:cs="Calibri"/>
          <w:b/>
          <w:bCs/>
          <w:szCs w:val="22"/>
        </w:rPr>
        <w:t>Public Members</w:t>
      </w:r>
      <w:r w:rsidRPr="006E546C">
        <w:rPr>
          <w:rFonts w:eastAsia="Calibri" w:cs="Calibri"/>
          <w:szCs w:val="22"/>
        </w:rPr>
        <w:t xml:space="preserve"> recommend the County communicate to the public DEQ’s minimum </w:t>
      </w:r>
      <w:r w:rsidR="001148FC">
        <w:rPr>
          <w:rFonts w:eastAsia="Calibri" w:cs="Calibri"/>
          <w:szCs w:val="22"/>
        </w:rPr>
        <w:t>reclamation requirements (</w:t>
      </w:r>
      <w:r w:rsidRPr="006E546C">
        <w:rPr>
          <w:rFonts w:eastAsia="Calibri" w:cs="Calibri"/>
          <w:szCs w:val="22"/>
        </w:rPr>
        <w:t xml:space="preserve">Closure and Post-Closure Care) and work with Republic to implement </w:t>
      </w:r>
      <w:r w:rsidR="00B0195A">
        <w:rPr>
          <w:rFonts w:eastAsia="Calibri" w:cs="Calibri"/>
          <w:szCs w:val="22"/>
        </w:rPr>
        <w:t>a reclamation approach</w:t>
      </w:r>
      <w:r w:rsidRPr="006E546C">
        <w:rPr>
          <w:rFonts w:eastAsia="Calibri" w:cs="Calibri"/>
          <w:szCs w:val="22"/>
        </w:rPr>
        <w:t xml:space="preserve"> acceptable to the community.  </w:t>
      </w:r>
      <w:r w:rsidR="001148FC" w:rsidRPr="001148FC">
        <w:rPr>
          <w:rFonts w:eastAsia="Calibri" w:cs="Calibri"/>
          <w:szCs w:val="22"/>
        </w:rPr>
        <w:t>Benton County and Republic are not limited to agreeing to a reclamation plan that exceeds</w:t>
      </w:r>
      <w:r w:rsidRPr="006E546C">
        <w:rPr>
          <w:rFonts w:eastAsia="Calibri" w:cs="Calibri"/>
          <w:szCs w:val="22"/>
        </w:rPr>
        <w:t xml:space="preserve"> minimum standards.</w:t>
      </w:r>
      <w:r w:rsidRPr="006E546C">
        <w:rPr>
          <w:rFonts w:eastAsia="Calibri" w:cs="Calibri"/>
          <w:b/>
          <w:bCs/>
          <w:szCs w:val="22"/>
        </w:rPr>
        <w:t xml:space="preserve"> Republic </w:t>
      </w:r>
      <w:r w:rsidRPr="006E546C">
        <w:rPr>
          <w:rFonts w:eastAsia="Calibri" w:cs="Calibri"/>
          <w:szCs w:val="22"/>
        </w:rPr>
        <w:t>disagrees</w:t>
      </w:r>
      <w:r w:rsidR="001148FC">
        <w:rPr>
          <w:rFonts w:eastAsia="Calibri" w:cs="Calibri"/>
          <w:szCs w:val="22"/>
        </w:rPr>
        <w:t>,</w:t>
      </w:r>
      <w:r w:rsidRPr="006E546C">
        <w:rPr>
          <w:rFonts w:eastAsia="Calibri" w:cs="Calibri"/>
          <w:szCs w:val="22"/>
        </w:rPr>
        <w:t xml:space="preserve"> noting </w:t>
      </w:r>
      <w:r w:rsidR="001148FC" w:rsidRPr="001148FC">
        <w:rPr>
          <w:rFonts w:eastAsia="Calibri" w:cs="Calibri"/>
          <w:szCs w:val="22"/>
        </w:rPr>
        <w:t xml:space="preserve">that the reclamation plan's regulation and enforcement </w:t>
      </w:r>
      <w:r w:rsidR="001148FC">
        <w:rPr>
          <w:rFonts w:eastAsia="Calibri" w:cs="Calibri"/>
          <w:szCs w:val="22"/>
        </w:rPr>
        <w:t>are</w:t>
      </w:r>
      <w:r w:rsidR="001148FC" w:rsidRPr="001148FC">
        <w:rPr>
          <w:rFonts w:eastAsia="Calibri" w:cs="Calibri"/>
          <w:szCs w:val="22"/>
        </w:rPr>
        <w:t xml:space="preserve"> under DEQ's exclusive jurisdiction</w:t>
      </w:r>
      <w:r w:rsidRPr="006E546C">
        <w:rPr>
          <w:rFonts w:eastAsia="Calibri" w:cs="Calibri"/>
          <w:szCs w:val="22"/>
        </w:rPr>
        <w:t xml:space="preserve">. This should be part of the long-term materials management plan; it is </w:t>
      </w:r>
      <w:r w:rsidR="001148FC">
        <w:rPr>
          <w:rFonts w:eastAsia="Calibri" w:cs="Calibri"/>
          <w:szCs w:val="22"/>
        </w:rPr>
        <w:t>irrelevant</w:t>
      </w:r>
      <w:r w:rsidRPr="006E546C">
        <w:rPr>
          <w:rFonts w:eastAsia="Calibri" w:cs="Calibri"/>
          <w:szCs w:val="22"/>
        </w:rPr>
        <w:t xml:space="preserve"> to past or future land actions.)</w:t>
      </w:r>
    </w:p>
    <w:p w14:paraId="34E5D4CA" w14:textId="5B081387" w:rsidR="006E546C" w:rsidRPr="006E546C" w:rsidRDefault="006E546C" w:rsidP="006E546C">
      <w:pPr>
        <w:numPr>
          <w:ilvl w:val="0"/>
          <w:numId w:val="7"/>
        </w:numPr>
        <w:spacing w:after="120"/>
        <w:ind w:left="1080" w:hanging="1080"/>
        <w:rPr>
          <w:rFonts w:eastAsia="Calibri" w:cs="Arial"/>
          <w:szCs w:val="22"/>
        </w:rPr>
      </w:pPr>
      <w:r w:rsidRPr="006E546C">
        <w:rPr>
          <w:rFonts w:eastAsia="Calibri" w:cs="Calibri"/>
          <w:szCs w:val="22"/>
        </w:rPr>
        <w:t xml:space="preserve">[Pending] A determination as to whether the public burden associated with the acquisition of buffer land (a condition of DEQ’s RCRA Corrective Measures for the landfill by landfill-related entities) is consistent with Vision 2040 and the impact on housing, forestry, and agricultural land uses has not been </w:t>
      </w:r>
      <w:r w:rsidR="001148FC">
        <w:rPr>
          <w:rFonts w:eastAsia="Calibri" w:cs="Calibri"/>
          <w:szCs w:val="22"/>
        </w:rPr>
        <w:t>made</w:t>
      </w:r>
      <w:r w:rsidRPr="006E546C">
        <w:rPr>
          <w:rFonts w:eastAsia="Calibri" w:cs="Calibri"/>
          <w:szCs w:val="22"/>
        </w:rPr>
        <w:t>. (</w:t>
      </w:r>
      <w:r w:rsidRPr="006E546C">
        <w:rPr>
          <w:rFonts w:eastAsia="Calibri" w:cs="Calibri"/>
          <w:b/>
          <w:bCs/>
          <w:szCs w:val="22"/>
        </w:rPr>
        <w:t xml:space="preserve">Republic </w:t>
      </w:r>
      <w:r w:rsidRPr="006E546C">
        <w:rPr>
          <w:rFonts w:eastAsia="Calibri" w:cs="Calibri"/>
          <w:szCs w:val="22"/>
        </w:rPr>
        <w:t xml:space="preserve">notes the County has no authority to regulate </w:t>
      </w:r>
      <w:r w:rsidR="001148FC" w:rsidRPr="001148FC">
        <w:rPr>
          <w:rFonts w:eastAsia="Calibri" w:cs="Calibri"/>
          <w:szCs w:val="22"/>
        </w:rPr>
        <w:t>a private party's acquisition of real property</w:t>
      </w:r>
      <w:r w:rsidRPr="006E546C">
        <w:rPr>
          <w:rFonts w:eastAsia="Calibri" w:cs="Calibri"/>
          <w:szCs w:val="22"/>
        </w:rPr>
        <w:t>.  Ownership changes do not affect the lawful/required uses of property under the applicable land use regulations.)</w:t>
      </w:r>
    </w:p>
    <w:p w14:paraId="7021270A" w14:textId="77777777"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t>[Pending] Documentation for a required submittal of a Fire Response Plan for the power generation facility was not found in the land use records.</w:t>
      </w:r>
    </w:p>
    <w:p w14:paraId="42E3ACC9" w14:textId="77777777"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t>[Pending] Odor issues do not seem to be mentioned in any of the conditions. (</w:t>
      </w:r>
      <w:r w:rsidRPr="006E546C">
        <w:rPr>
          <w:rFonts w:eastAsia="Calibri" w:cs="Calibri"/>
          <w:b/>
          <w:bCs/>
          <w:szCs w:val="22"/>
        </w:rPr>
        <w:t xml:space="preserve">Republic </w:t>
      </w:r>
      <w:r w:rsidRPr="006E546C">
        <w:rPr>
          <w:rFonts w:eastAsia="Calibri" w:cs="Calibri"/>
          <w:szCs w:val="22"/>
        </w:rPr>
        <w:t>notes DEQ responds to and enforces odor complaints.</w:t>
      </w:r>
    </w:p>
    <w:p w14:paraId="33686221" w14:textId="0056B812" w:rsidR="006E546C" w:rsidRPr="006E546C" w:rsidRDefault="006E546C" w:rsidP="006E546C">
      <w:pPr>
        <w:numPr>
          <w:ilvl w:val="0"/>
          <w:numId w:val="7"/>
        </w:numPr>
        <w:spacing w:after="120"/>
        <w:ind w:left="1080" w:hanging="1080"/>
        <w:rPr>
          <w:rFonts w:eastAsia="Calibri" w:cs="Calibri"/>
          <w:szCs w:val="22"/>
        </w:rPr>
      </w:pPr>
      <w:r w:rsidRPr="006E546C">
        <w:rPr>
          <w:rFonts w:eastAsia="Calibri" w:cs="Calibri"/>
          <w:szCs w:val="22"/>
        </w:rPr>
        <w:t xml:space="preserve">[Pending] It is difficult for people other than the county staff to understand what conditions must be completed </w:t>
      </w:r>
      <w:r w:rsidR="001148FC">
        <w:rPr>
          <w:rFonts w:eastAsia="Calibri" w:cs="Calibri"/>
          <w:szCs w:val="22"/>
        </w:rPr>
        <w:t>before</w:t>
      </w:r>
      <w:r w:rsidRPr="006E546C">
        <w:rPr>
          <w:rFonts w:eastAsia="Calibri" w:cs="Calibri"/>
          <w:szCs w:val="22"/>
        </w:rPr>
        <w:t xml:space="preserve"> final approval and which conditions carry over through the life of the use.</w:t>
      </w:r>
    </w:p>
    <w:p w14:paraId="46894DED" w14:textId="77777777" w:rsidR="006E546C" w:rsidRPr="006E546C" w:rsidRDefault="006E546C" w:rsidP="006E546C">
      <w:pPr>
        <w:spacing w:after="240" w:line="240" w:lineRule="auto"/>
        <w:ind w:left="360" w:hanging="360"/>
        <w:contextualSpacing/>
        <w:rPr>
          <w:rFonts w:eastAsia="Calibri" w:cs="Arial"/>
          <w:b/>
          <w:szCs w:val="22"/>
        </w:rPr>
      </w:pPr>
    </w:p>
    <w:p w14:paraId="1C7F50F2" w14:textId="77777777" w:rsidR="006E546C" w:rsidRPr="006E546C" w:rsidRDefault="006E546C" w:rsidP="006E546C">
      <w:pPr>
        <w:spacing w:after="240" w:line="240" w:lineRule="auto"/>
        <w:ind w:left="360" w:hanging="360"/>
        <w:contextualSpacing/>
        <w:rPr>
          <w:rFonts w:eastAsia="Calibri" w:cs="Calibri"/>
          <w:b/>
          <w:szCs w:val="22"/>
        </w:rPr>
      </w:pPr>
      <w:r w:rsidRPr="006E546C">
        <w:rPr>
          <w:rFonts w:eastAsia="Calibri" w:cs="Calibri"/>
          <w:b/>
          <w:szCs w:val="22"/>
        </w:rPr>
        <w:t>Key Recommendations:</w:t>
      </w:r>
      <w:bookmarkEnd w:id="7"/>
      <w:bookmarkEnd w:id="8"/>
      <w:r w:rsidRPr="006E546C">
        <w:rPr>
          <w:rFonts w:eastAsia="Calibri" w:cs="Calibri"/>
          <w:b/>
          <w:szCs w:val="22"/>
        </w:rPr>
        <w:t xml:space="preserve"> </w:t>
      </w:r>
    </w:p>
    <w:p w14:paraId="5B511134" w14:textId="77777777" w:rsidR="006E546C" w:rsidRPr="006E546C" w:rsidRDefault="006E546C" w:rsidP="006E546C">
      <w:pPr>
        <w:spacing w:after="240" w:line="240" w:lineRule="auto"/>
        <w:ind w:left="360" w:hanging="360"/>
        <w:contextualSpacing/>
        <w:rPr>
          <w:rFonts w:eastAsia="Calibri" w:cs="Calibri"/>
          <w:b/>
          <w:szCs w:val="22"/>
        </w:rPr>
      </w:pPr>
    </w:p>
    <w:p w14:paraId="500DE80F"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color w:val="000000"/>
          <w:szCs w:val="22"/>
        </w:rPr>
        <w:t>Benton County should actively monitor and enforce prior land use decision conditions of approval for the landfill or any other land use decision.</w:t>
      </w:r>
      <w:r w:rsidRPr="006E546C">
        <w:rPr>
          <w:rFonts w:eastAsia="Calibri" w:cs="Calibri"/>
          <w:color w:val="000000"/>
          <w:szCs w:val="22"/>
          <w:u w:val="single"/>
        </w:rPr>
        <w:t xml:space="preserve"> </w:t>
      </w:r>
    </w:p>
    <w:p w14:paraId="408C5E11" w14:textId="604086DF"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Establish and widely advertise a County process for receiving, tracking, and resolving complaints</w:t>
      </w:r>
      <w:r w:rsidR="001148FC">
        <w:rPr>
          <w:rFonts w:eastAsia="Calibri" w:cs="Calibri"/>
          <w:szCs w:val="22"/>
        </w:rPr>
        <w:t>. It</w:t>
      </w:r>
      <w:r w:rsidRPr="006E546C">
        <w:rPr>
          <w:rFonts w:eastAsia="Calibri" w:cs="Calibri"/>
          <w:szCs w:val="22"/>
        </w:rPr>
        <w:t xml:space="preserve"> should include an appeals process beyond communicating with the Board in the normal course of its business.</w:t>
      </w:r>
    </w:p>
    <w:p w14:paraId="64018B1D" w14:textId="5F094469"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 xml:space="preserve">[Pending] Ensure that all documents involved in a land use application </w:t>
      </w:r>
      <w:r w:rsidR="001148FC" w:rsidRPr="006E546C">
        <w:rPr>
          <w:rFonts w:eastAsia="Calibri" w:cs="Calibri"/>
          <w:szCs w:val="22"/>
        </w:rPr>
        <w:t xml:space="preserve">and all documentation required to be submitted by a condition of approval </w:t>
      </w:r>
      <w:r w:rsidRPr="006E546C">
        <w:rPr>
          <w:rFonts w:eastAsia="Calibri" w:cs="Calibri"/>
          <w:szCs w:val="22"/>
        </w:rPr>
        <w:t>are acquired and placed in the relevant file</w:t>
      </w:r>
      <w:r w:rsidR="001148FC">
        <w:rPr>
          <w:rFonts w:eastAsia="Calibri" w:cs="Calibri"/>
          <w:szCs w:val="22"/>
        </w:rPr>
        <w:t xml:space="preserve"> </w:t>
      </w:r>
      <w:r w:rsidRPr="006E546C">
        <w:rPr>
          <w:rFonts w:eastAsia="Calibri" w:cs="Calibri"/>
          <w:szCs w:val="22"/>
        </w:rPr>
        <w:t>for that land use application.</w:t>
      </w:r>
    </w:p>
    <w:p w14:paraId="2A42C8AE" w14:textId="0192670F"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color w:val="000000"/>
          <w:szCs w:val="22"/>
        </w:rPr>
        <w:lastRenderedPageBreak/>
        <w:t xml:space="preserve">Create a system that tracks Benton County receipt of reports that are submitted as required per Conditions of Approval (E.g., </w:t>
      </w:r>
      <w:r w:rsidRPr="006E546C">
        <w:rPr>
          <w:rFonts w:eastAsia="Calibri" w:cs="Calibri"/>
          <w:szCs w:val="22"/>
        </w:rPr>
        <w:t>copies of water quality and air quality permits, emergency plans, permit submittals, financial assurance statements, etc.</w:t>
      </w:r>
      <w:r w:rsidR="001148FC">
        <w:rPr>
          <w:rFonts w:eastAsia="Calibri" w:cs="Calibri"/>
          <w:szCs w:val="22"/>
        </w:rPr>
        <w:t>,</w:t>
      </w:r>
      <w:r w:rsidRPr="006E546C">
        <w:rPr>
          <w:rFonts w:eastAsia="Calibri" w:cs="Calibri"/>
          <w:szCs w:val="22"/>
        </w:rPr>
        <w:t xml:space="preserve"> and data produced from associated monitoring programs, required of the applicant by the Oregon Department of Environmental Quality or other governmental agencies.</w:t>
      </w:r>
    </w:p>
    <w:p w14:paraId="5F197953"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Determine if the Site Plan and Narrative included in the applicant submittals for PC-83-07/L-83-07 were regulatory conditions the landfill was required to follow. Currently, there is a difference of opinion as to whether they are regulatory.  Either way, a determination should be made on these requirements moving forward.</w:t>
      </w:r>
    </w:p>
    <w:p w14:paraId="6F50553E"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[Pending] Determine the applicability and authority of the 2002 MOU as it relates to pre-2002 conditions of approval.</w:t>
      </w:r>
    </w:p>
    <w:p w14:paraId="77E32188"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Clarify the intersecting roles between the County and DEQ in future CUP actions.  The line between "environmental” and “land use" impacts may not be clear.</w:t>
      </w:r>
    </w:p>
    <w:p w14:paraId="5F8A61E7" w14:textId="3745BBDA"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color w:val="000000"/>
          <w:szCs w:val="22"/>
        </w:rPr>
        <w:t>Consider a program for compliance confirmation for facilities contributing to environmental burdens on the County</w:t>
      </w:r>
      <w:r w:rsidR="00797333">
        <w:rPr>
          <w:rFonts w:eastAsia="Calibri" w:cs="Calibri"/>
          <w:color w:val="000000"/>
          <w:szCs w:val="22"/>
        </w:rPr>
        <w:t>,</w:t>
      </w:r>
      <w:r w:rsidRPr="006E546C">
        <w:rPr>
          <w:rFonts w:eastAsia="Calibri" w:cs="Calibri"/>
          <w:color w:val="000000"/>
          <w:szCs w:val="22"/>
        </w:rPr>
        <w:t xml:space="preserve"> such as a landfill, </w:t>
      </w:r>
      <w:r w:rsidR="00797333">
        <w:rPr>
          <w:rFonts w:eastAsia="Calibri" w:cs="Calibri"/>
          <w:color w:val="000000"/>
          <w:szCs w:val="22"/>
        </w:rPr>
        <w:t>industrial-scale</w:t>
      </w:r>
      <w:r w:rsidRPr="006E546C">
        <w:rPr>
          <w:rFonts w:eastAsia="Calibri" w:cs="Calibri"/>
          <w:color w:val="000000"/>
          <w:szCs w:val="22"/>
        </w:rPr>
        <w:t xml:space="preserve"> composting, or direct dischargers to water bodies within the county, etc.</w:t>
      </w:r>
      <w:r w:rsidRPr="006E546C">
        <w:rPr>
          <w:rFonts w:eastAsia="Calibri" w:cs="Calibri"/>
          <w:szCs w:val="22"/>
        </w:rPr>
        <w:t xml:space="preserve">  </w:t>
      </w:r>
    </w:p>
    <w:p w14:paraId="5ADAD2BA"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 xml:space="preserve">Consider the public burden of leachate from the landfill site on traffic safety, road maintenance, public wastewater treatment plants (Corvallis, Salem), and the Willamette River (water quality, sediments, wildlife, etc.) in future assessments of the impact of landfilling in Benton County.  </w:t>
      </w:r>
    </w:p>
    <w:p w14:paraId="17D3146C"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bookmarkStart w:id="9" w:name="_Hlk127874735"/>
      <w:r w:rsidRPr="006E546C">
        <w:rPr>
          <w:rFonts w:eastAsia="Calibri" w:cs="Calibri"/>
          <w:szCs w:val="22"/>
        </w:rPr>
        <w:t>Clarify and communicate to the public what appropriate reclamation will look like to appropriately manage community expectations for the ultimate disposition of the landfill.</w:t>
      </w:r>
      <w:bookmarkEnd w:id="9"/>
    </w:p>
    <w:p w14:paraId="17C32776" w14:textId="22A05CDA"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 xml:space="preserve">Evaluate the public burden of </w:t>
      </w:r>
      <w:r w:rsidR="00797333">
        <w:rPr>
          <w:rFonts w:eastAsia="Calibri" w:cs="Calibri"/>
          <w:szCs w:val="22"/>
        </w:rPr>
        <w:t>acquiring</w:t>
      </w:r>
      <w:r w:rsidRPr="006E546C">
        <w:rPr>
          <w:rFonts w:eastAsia="Calibri" w:cs="Calibri"/>
          <w:szCs w:val="22"/>
        </w:rPr>
        <w:t xml:space="preserve"> buffer land – a condition of DEQ’s RCRA Corrective Measures for the landfill -  by landfill-related entities is consistent with Vision 2040 and the impact on housing, forestry, and agricultural land uses.</w:t>
      </w:r>
    </w:p>
    <w:p w14:paraId="34CDA47F"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Assess the landfill’s emergency water supply plan</w:t>
      </w:r>
      <w:r w:rsidRPr="006E546C">
        <w:rPr>
          <w:rFonts w:eastAsia="Calibri" w:cs="Calibri"/>
          <w:color w:val="000000"/>
          <w:szCs w:val="22"/>
        </w:rPr>
        <w:t xml:space="preserve"> to establish if the applicant is in compliance with this 1997 power plant condition.</w:t>
      </w:r>
    </w:p>
    <w:p w14:paraId="502C72AE" w14:textId="1663460D"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color w:val="000000"/>
          <w:szCs w:val="22"/>
        </w:rPr>
        <w:t xml:space="preserve">Develop an </w:t>
      </w:r>
      <w:r w:rsidR="00797333" w:rsidRPr="00797333">
        <w:rPr>
          <w:rFonts w:eastAsia="Calibri" w:cs="Calibri"/>
          <w:color w:val="000000"/>
          <w:szCs w:val="22"/>
        </w:rPr>
        <w:t xml:space="preserve">adequate emergency preparedness/response plan with neighboring counties </w:t>
      </w:r>
      <w:r w:rsidRPr="006E546C">
        <w:rPr>
          <w:rFonts w:eastAsia="Calibri" w:cs="Calibri"/>
          <w:color w:val="000000"/>
          <w:szCs w:val="22"/>
        </w:rPr>
        <w:t>given the lessons learned from the nationally reported 1999 landfill fill fire and emergency services available to address new fire situations regardless of location.</w:t>
      </w:r>
    </w:p>
    <w:p w14:paraId="54384F2E"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There should be further discussion on how to address odor issues in the context of DEQ’s then-existing program.</w:t>
      </w:r>
    </w:p>
    <w:p w14:paraId="0F428CFA" w14:textId="77777777" w:rsidR="006E546C" w:rsidRPr="006E546C" w:rsidRDefault="006E546C" w:rsidP="006E546C">
      <w:pPr>
        <w:numPr>
          <w:ilvl w:val="0"/>
          <w:numId w:val="8"/>
        </w:numPr>
        <w:spacing w:after="120" w:line="240" w:lineRule="auto"/>
        <w:ind w:left="1080" w:hanging="1080"/>
        <w:rPr>
          <w:rFonts w:eastAsia="Calibri" w:cs="Calibri"/>
          <w:color w:val="000000"/>
          <w:szCs w:val="22"/>
          <w:u w:val="single"/>
        </w:rPr>
      </w:pPr>
      <w:r w:rsidRPr="006E546C">
        <w:rPr>
          <w:rFonts w:eastAsia="Calibri" w:cs="Calibri"/>
          <w:szCs w:val="22"/>
        </w:rPr>
        <w:t xml:space="preserve">Future conditional use permit conditions of approval and decisions should clearly convey the basis of approval and completion.  </w:t>
      </w:r>
    </w:p>
    <w:p w14:paraId="4FA9A420" w14:textId="332457CB" w:rsidR="00007E3F" w:rsidRPr="006E546C" w:rsidRDefault="006E546C" w:rsidP="006E546C">
      <w:pPr>
        <w:numPr>
          <w:ilvl w:val="0"/>
          <w:numId w:val="8"/>
        </w:numPr>
        <w:spacing w:after="120" w:line="240" w:lineRule="auto"/>
        <w:ind w:left="1080" w:hanging="1080"/>
        <w:rPr>
          <w:rFonts w:eastAsia="Times New Roman" w:cstheme="majorBidi"/>
          <w:color w:val="2F5496" w:themeColor="accent1" w:themeShade="BF"/>
          <w:szCs w:val="22"/>
        </w:rPr>
      </w:pPr>
      <w:r w:rsidRPr="006E546C">
        <w:rPr>
          <w:rFonts w:eastAsia="Calibri" w:cs="Calibri"/>
          <w:color w:val="000000"/>
          <w:szCs w:val="22"/>
        </w:rPr>
        <w:lastRenderedPageBreak/>
        <w:t>Improve land use terminology for what an applicant is required to do to be considered in compliance with preliminary and operational Conditions of Approval.</w:t>
      </w:r>
    </w:p>
    <w:p w14:paraId="4CE690A3" w14:textId="77777777" w:rsidR="006E546C" w:rsidRDefault="006E546C">
      <w:pPr>
        <w:rPr>
          <w:rFonts w:eastAsia="Times New Roman" w:cstheme="majorBidi"/>
          <w:color w:val="2F5496" w:themeColor="accent1" w:themeShade="BF"/>
          <w:sz w:val="32"/>
          <w:szCs w:val="32"/>
        </w:rPr>
      </w:pPr>
      <w:bookmarkStart w:id="10" w:name="_Toc127990007"/>
      <w:r>
        <w:br w:type="page"/>
      </w:r>
    </w:p>
    <w:p w14:paraId="74CB5F1C" w14:textId="7814B166" w:rsidR="00007E3F" w:rsidRDefault="00007E3F" w:rsidP="008501DA">
      <w:pPr>
        <w:pStyle w:val="Heading1"/>
        <w:jc w:val="center"/>
      </w:pPr>
      <w:r>
        <w:lastRenderedPageBreak/>
        <w:t>Community Education &amp; Outreach E.1. Subcommittee</w:t>
      </w:r>
      <w:bookmarkEnd w:id="10"/>
    </w:p>
    <w:p w14:paraId="34D2A156" w14:textId="0F8426E7" w:rsidR="00007E3F" w:rsidRDefault="00007E3F" w:rsidP="00007E3F"/>
    <w:p w14:paraId="23AD5762" w14:textId="77777777" w:rsidR="00007E3F" w:rsidRPr="005D6910" w:rsidRDefault="00007E3F" w:rsidP="00007E3F">
      <w:pPr>
        <w:spacing w:after="240" w:line="240" w:lineRule="auto"/>
        <w:rPr>
          <w:b/>
          <w:bCs/>
        </w:rPr>
      </w:pPr>
      <w:r w:rsidRPr="005D6910">
        <w:rPr>
          <w:b/>
          <w:bCs/>
        </w:rPr>
        <w:t>Key Findings</w:t>
      </w:r>
    </w:p>
    <w:p w14:paraId="4BFE1B00" w14:textId="77777777" w:rsidR="00007E3F" w:rsidRPr="008501DA" w:rsidRDefault="00007E3F" w:rsidP="00007E3F">
      <w:pPr>
        <w:spacing w:after="240" w:line="240" w:lineRule="auto"/>
        <w:rPr>
          <w:i/>
          <w:iCs/>
        </w:rPr>
      </w:pPr>
      <w:r w:rsidRPr="008501DA">
        <w:rPr>
          <w:i/>
          <w:iCs/>
        </w:rPr>
        <w:t>Public engagement needs to be widened and become more inclusive. This is most likely to be achieved through the following measures:</w:t>
      </w:r>
    </w:p>
    <w:p w14:paraId="6E5EA504" w14:textId="77777777" w:rsidR="00007E3F" w:rsidRPr="005D6910" w:rsidRDefault="00000000" w:rsidP="00007E3F">
      <w:pPr>
        <w:spacing w:after="240" w:line="240" w:lineRule="auto"/>
        <w:ind w:left="1440" w:hanging="1440"/>
        <w:rPr>
          <w:b/>
          <w:bCs/>
          <w:color w:val="0070C0"/>
        </w:rPr>
      </w:pPr>
      <w:hyperlink w:anchor="CEO_F1" w:history="1">
        <w:r w:rsidR="00007E3F" w:rsidRPr="005D6910">
          <w:rPr>
            <w:b/>
            <w:bCs/>
            <w:color w:val="0000FF"/>
            <w:u w:val="single"/>
          </w:rPr>
          <w:t>CEO F-1</w:t>
        </w:r>
      </w:hyperlink>
      <w:r w:rsidR="00007E3F" w:rsidRPr="005D6910">
        <w:tab/>
        <w:t xml:space="preserve">Insure language accessibility for at least the County’s most used languages. (English, Spanish, Mandarin, and Cantonese) </w:t>
      </w:r>
    </w:p>
    <w:p w14:paraId="3FED7860" w14:textId="2275600A" w:rsidR="00007E3F" w:rsidRPr="005D6910" w:rsidRDefault="00000000" w:rsidP="00007E3F">
      <w:pPr>
        <w:spacing w:after="240" w:line="240" w:lineRule="auto"/>
        <w:ind w:left="1440" w:hanging="1440"/>
      </w:pPr>
      <w:hyperlink w:anchor="CEO_F2" w:history="1">
        <w:r w:rsidR="00007E3F" w:rsidRPr="005D6910">
          <w:rPr>
            <w:b/>
            <w:bCs/>
            <w:color w:val="0000FF"/>
            <w:u w:val="single"/>
          </w:rPr>
          <w:t>CEO F-2</w:t>
        </w:r>
      </w:hyperlink>
      <w:r w:rsidR="00007E3F" w:rsidRPr="005D6910">
        <w:rPr>
          <w:color w:val="0000FF"/>
        </w:rPr>
        <w:tab/>
      </w:r>
      <w:r w:rsidR="00007E3F" w:rsidRPr="005D6910">
        <w:t xml:space="preserve">Use methods that help </w:t>
      </w:r>
      <w:r w:rsidR="00797333">
        <w:t>underserved target</w:t>
      </w:r>
      <w:r w:rsidR="00007E3F" w:rsidRPr="005D6910">
        <w:t xml:space="preserve"> populations, particularly youth and low-income demographics. </w:t>
      </w:r>
    </w:p>
    <w:p w14:paraId="142FC056" w14:textId="77777777" w:rsidR="00007E3F" w:rsidRPr="005D6910" w:rsidRDefault="00007E3F" w:rsidP="00007E3F">
      <w:pPr>
        <w:numPr>
          <w:ilvl w:val="0"/>
          <w:numId w:val="9"/>
        </w:numPr>
        <w:spacing w:after="240" w:line="240" w:lineRule="auto"/>
      </w:pPr>
      <w:r w:rsidRPr="005D6910">
        <w:t xml:space="preserve">This can be achieved through more SMS communication and ensuring all websites and surveys are mobile-friendly. </w:t>
      </w:r>
    </w:p>
    <w:p w14:paraId="06F26555" w14:textId="77777777" w:rsidR="00007E3F" w:rsidRPr="005D6910" w:rsidRDefault="00007E3F" w:rsidP="00007E3F">
      <w:pPr>
        <w:numPr>
          <w:ilvl w:val="0"/>
          <w:numId w:val="9"/>
        </w:numPr>
        <w:spacing w:after="240" w:line="240" w:lineRule="auto"/>
      </w:pPr>
      <w:r w:rsidRPr="005D6910">
        <w:t xml:space="preserve">Increase social media communication and expand to more platforms. (Reddit, TikTok, Sub-Reddit, etc.) </w:t>
      </w:r>
    </w:p>
    <w:p w14:paraId="1C26294D" w14:textId="77777777" w:rsidR="00007E3F" w:rsidRPr="005D6910" w:rsidRDefault="00007E3F" w:rsidP="00007E3F">
      <w:pPr>
        <w:numPr>
          <w:ilvl w:val="0"/>
          <w:numId w:val="9"/>
        </w:numPr>
        <w:spacing w:after="240" w:line="240" w:lineRule="auto"/>
      </w:pPr>
      <w:r w:rsidRPr="005D6910">
        <w:t>Utilize social media advertising.</w:t>
      </w:r>
    </w:p>
    <w:p w14:paraId="7F0B2405" w14:textId="77777777" w:rsidR="00007E3F" w:rsidRPr="005D6910" w:rsidRDefault="00000000" w:rsidP="00007E3F">
      <w:pPr>
        <w:spacing w:after="240" w:line="240" w:lineRule="auto"/>
        <w:ind w:left="1440" w:hanging="1440"/>
        <w:rPr>
          <w:color w:val="0070C0"/>
        </w:rPr>
      </w:pPr>
      <w:hyperlink w:anchor="CEO_F3" w:history="1">
        <w:r w:rsidR="00007E3F" w:rsidRPr="005D6910">
          <w:rPr>
            <w:b/>
            <w:bCs/>
            <w:color w:val="0000FF"/>
            <w:u w:val="single"/>
          </w:rPr>
          <w:t>CEO F-3</w:t>
        </w:r>
      </w:hyperlink>
      <w:r w:rsidR="00007E3F" w:rsidRPr="005D6910">
        <w:rPr>
          <w:color w:val="0000FF"/>
        </w:rPr>
        <w:tab/>
      </w:r>
      <w:r w:rsidR="00007E3F" w:rsidRPr="005D6910">
        <w:t>Use outreach methods that do not require people to be pre-signed up or self-selected. This includes, but is not limited to, flyers in public spaces, paid advertising on social media, in newspapers, and on the radio, informational mailers, and other resources.)</w:t>
      </w:r>
    </w:p>
    <w:p w14:paraId="6971C4BB" w14:textId="77777777" w:rsidR="00007E3F" w:rsidRPr="005D6910" w:rsidRDefault="00000000" w:rsidP="00007E3F">
      <w:pPr>
        <w:spacing w:after="240" w:line="240" w:lineRule="auto"/>
        <w:ind w:left="1440" w:hanging="1440"/>
        <w:rPr>
          <w:color w:val="0070C0"/>
        </w:rPr>
      </w:pPr>
      <w:hyperlink w:anchor="CEO_F4" w:history="1">
        <w:r w:rsidR="00007E3F" w:rsidRPr="005D6910">
          <w:rPr>
            <w:b/>
            <w:bCs/>
            <w:color w:val="0000FF"/>
            <w:u w:val="single"/>
          </w:rPr>
          <w:t>CEO F-4</w:t>
        </w:r>
      </w:hyperlink>
      <w:r w:rsidR="00007E3F" w:rsidRPr="005D6910">
        <w:rPr>
          <w:color w:val="0000FF"/>
        </w:rPr>
        <w:tab/>
      </w:r>
      <w:r w:rsidR="00007E3F" w:rsidRPr="005D6910">
        <w:rPr>
          <w:rFonts w:cstheme="minorHAnsi"/>
        </w:rPr>
        <w:t>Create user-friendly access to public input documents and testimonies during the process to ensure Benton County, Planning Commission, SWAC, and others.</w:t>
      </w:r>
    </w:p>
    <w:p w14:paraId="4C952FF2" w14:textId="77777777" w:rsidR="00007E3F" w:rsidRPr="005D6910" w:rsidRDefault="00007E3F" w:rsidP="00007E3F">
      <w:pPr>
        <w:spacing w:after="240" w:line="240" w:lineRule="auto"/>
        <w:rPr>
          <w:b/>
          <w:bCs/>
        </w:rPr>
      </w:pPr>
      <w:r w:rsidRPr="005D6910">
        <w:rPr>
          <w:b/>
          <w:bCs/>
        </w:rPr>
        <w:t>Key Recommendations</w:t>
      </w:r>
    </w:p>
    <w:p w14:paraId="1C9FC83A" w14:textId="158E95BC" w:rsidR="00007E3F" w:rsidRPr="00765448" w:rsidRDefault="00007E3F" w:rsidP="00765448">
      <w:pPr>
        <w:spacing w:after="240" w:line="240" w:lineRule="auto"/>
        <w:contextualSpacing/>
        <w:rPr>
          <w:i/>
          <w:iCs/>
        </w:rPr>
      </w:pPr>
      <w:r w:rsidRPr="00765448">
        <w:rPr>
          <w:i/>
          <w:iCs/>
        </w:rPr>
        <w:t>County Development Department and county PIO are responsible for communication and outreach. Maps displaying the different radii referenced in the following recommendations can be found in Appendix C:5 with the full CEO report and linked</w:t>
      </w:r>
      <w:hyperlink w:anchor="CEO_NotificationRadiuProposals" w:history="1">
        <w:r w:rsidRPr="00765448">
          <w:rPr>
            <w:i/>
            <w:iCs/>
            <w:color w:val="0000FF"/>
            <w:u w:val="single"/>
          </w:rPr>
          <w:t xml:space="preserve"> here. </w:t>
        </w:r>
      </w:hyperlink>
    </w:p>
    <w:p w14:paraId="2556FF58" w14:textId="77777777" w:rsidR="00765448" w:rsidRPr="005D6910" w:rsidRDefault="00765448" w:rsidP="00765448">
      <w:pPr>
        <w:spacing w:after="240" w:line="240" w:lineRule="auto"/>
        <w:ind w:left="720"/>
        <w:contextualSpacing/>
      </w:pPr>
    </w:p>
    <w:p w14:paraId="38D11AB5" w14:textId="77777777" w:rsidR="00007E3F" w:rsidRPr="005D6910" w:rsidRDefault="00000000" w:rsidP="00007E3F">
      <w:pPr>
        <w:spacing w:line="256" w:lineRule="auto"/>
        <w:ind w:left="1440" w:hanging="1440"/>
      </w:pPr>
      <w:hyperlink w:anchor="CEO_R1" w:history="1">
        <w:r w:rsidR="00007E3F" w:rsidRPr="005D6910">
          <w:rPr>
            <w:b/>
            <w:bCs/>
            <w:color w:val="0000FF"/>
            <w:u w:val="single"/>
          </w:rPr>
          <w:t>CEO R-1</w:t>
        </w:r>
      </w:hyperlink>
      <w:r w:rsidR="00007E3F" w:rsidRPr="005D6910">
        <w:tab/>
        <w:t xml:space="preserve">Notifications for Board Hearings on the report should include a postcard, an email blast, a newspaper notification, and social media posts and advertisements. The postcards should be sent to everyone in a 10- or 15-Mile radius, and notifications should be sent 24 hours after the board hearing is scheduled. </w:t>
      </w:r>
    </w:p>
    <w:p w14:paraId="48FA7017" w14:textId="4A0C7C87" w:rsidR="00007E3F" w:rsidRPr="005D6910" w:rsidRDefault="00000000" w:rsidP="00007E3F">
      <w:pPr>
        <w:spacing w:after="240" w:line="240" w:lineRule="auto"/>
        <w:ind w:left="1440" w:hanging="1440"/>
        <w:rPr>
          <w:color w:val="0000FF"/>
        </w:rPr>
      </w:pPr>
      <w:hyperlink w:anchor="CEO_R2" w:history="1">
        <w:r w:rsidR="00007E3F" w:rsidRPr="005D6910">
          <w:rPr>
            <w:b/>
            <w:bCs/>
            <w:color w:val="0000FF"/>
            <w:u w:val="single"/>
          </w:rPr>
          <w:t>CEO R-2</w:t>
        </w:r>
      </w:hyperlink>
      <w:r w:rsidR="00007E3F" w:rsidRPr="005D6910">
        <w:rPr>
          <w:color w:val="0000FF"/>
        </w:rPr>
        <w:tab/>
      </w:r>
      <w:r w:rsidR="00007E3F" w:rsidRPr="005D6910">
        <w:t xml:space="preserve">Notifications for CUP filings should include a postcard, email blast, newspaper notification, and social media posts and advertisements. Postcards should be sent to everyone within a 10- or 15-Mile radius, and notifications need to begin immediately after </w:t>
      </w:r>
      <w:r w:rsidR="00797333">
        <w:t>initiating</w:t>
      </w:r>
      <w:r w:rsidR="00007E3F" w:rsidRPr="005D6910">
        <w:t xml:space="preserve"> the CUP filing.</w:t>
      </w:r>
    </w:p>
    <w:p w14:paraId="4AAAF021" w14:textId="5B8F4EC7" w:rsidR="00007E3F" w:rsidRPr="005D6910" w:rsidRDefault="00000000" w:rsidP="00007E3F">
      <w:pPr>
        <w:spacing w:after="240" w:line="256" w:lineRule="auto"/>
        <w:ind w:left="1440" w:hanging="1440"/>
        <w:rPr>
          <w:rFonts w:eastAsia="Times New Roman" w:cs="Times New Roman"/>
          <w:color w:val="000000"/>
        </w:rPr>
      </w:pPr>
      <w:hyperlink w:anchor="CEO_R3" w:history="1">
        <w:r w:rsidR="00007E3F" w:rsidRPr="005D6910">
          <w:rPr>
            <w:b/>
            <w:bCs/>
            <w:color w:val="0000FF"/>
            <w:u w:val="single"/>
          </w:rPr>
          <w:t>CEO R-3</w:t>
        </w:r>
      </w:hyperlink>
      <w:r w:rsidR="00007E3F" w:rsidRPr="005D6910">
        <w:rPr>
          <w:color w:val="0000FF"/>
        </w:rPr>
        <w:tab/>
      </w:r>
      <w:r w:rsidR="00007E3F" w:rsidRPr="005D6910">
        <w:t xml:space="preserve">Notifications for the BCTT Report completion should include an </w:t>
      </w:r>
      <w:r w:rsidR="00007E3F" w:rsidRPr="005D6910">
        <w:rPr>
          <w:rFonts w:eastAsia="Times New Roman" w:cs="Times New Roman"/>
          <w:color w:val="000000"/>
        </w:rPr>
        <w:t>email blast</w:t>
      </w:r>
      <w:r w:rsidR="00007E3F" w:rsidRPr="005D6910">
        <w:rPr>
          <w:rFonts w:eastAsia="Times New Roman" w:cs="Times New Roman"/>
        </w:rPr>
        <w:t xml:space="preserve"> to the </w:t>
      </w:r>
      <w:r w:rsidR="00007E3F" w:rsidRPr="005D6910">
        <w:rPr>
          <w:rFonts w:eastAsia="Times New Roman" w:cs="Times New Roman"/>
          <w:color w:val="000000"/>
        </w:rPr>
        <w:t xml:space="preserve">Interested Parties List, Organic Subscribers, those who spoke at the meetings, the Soap Creek Neighbors Group, and other landfill neighbors. Notifications should also include a possible postcard to the entire county with a link to go to and/or scan to get on a list to be informed of further updates and/or have an open house event/public informational meeting. It should be on a weekend during the day so </w:t>
      </w:r>
      <w:r w:rsidR="00797333">
        <w:rPr>
          <w:rFonts w:eastAsia="Times New Roman" w:cs="Times New Roman"/>
          <w:color w:val="000000"/>
        </w:rPr>
        <w:t>that</w:t>
      </w:r>
      <w:r w:rsidR="00007E3F" w:rsidRPr="005D6910">
        <w:rPr>
          <w:rFonts w:eastAsia="Times New Roman" w:cs="Times New Roman"/>
          <w:color w:val="000000"/>
        </w:rPr>
        <w:t xml:space="preserve"> most people can attend, and the link and email list should be readily available. A 10-Mile radius is proposed, and notifications should be sent 72 hours after the report is finished. </w:t>
      </w:r>
    </w:p>
    <w:p w14:paraId="1ACB10A9" w14:textId="23CE1ADC" w:rsidR="00007E3F" w:rsidRPr="005D6910" w:rsidRDefault="00000000" w:rsidP="00007E3F">
      <w:pPr>
        <w:spacing w:after="240" w:line="256" w:lineRule="auto"/>
        <w:ind w:left="1440" w:hanging="1440"/>
      </w:pPr>
      <w:hyperlink w:anchor="CEO_R4" w:history="1">
        <w:r w:rsidR="00007E3F" w:rsidRPr="005D6910">
          <w:rPr>
            <w:b/>
            <w:bCs/>
            <w:color w:val="0000FF"/>
            <w:u w:val="single"/>
          </w:rPr>
          <w:t>CEO R-4</w:t>
        </w:r>
      </w:hyperlink>
      <w:r w:rsidR="00007E3F" w:rsidRPr="005D6910">
        <w:rPr>
          <w:color w:val="0000FF"/>
        </w:rPr>
        <w:tab/>
      </w:r>
      <w:r w:rsidR="00007E3F" w:rsidRPr="005D6910">
        <w:t>Notifications for the BCTT Survey for public input on the Workgroup Report should include an email blast, website post, and displays or p</w:t>
      </w:r>
      <w:r w:rsidR="00007E3F" w:rsidRPr="005D6910">
        <w:rPr>
          <w:rFonts w:eastAsia="Times New Roman" w:cs="Times New Roman"/>
          <w:color w:val="000000"/>
        </w:rPr>
        <w:t xml:space="preserve">resentations where people already spend time (i.e., Library, community events). Notifications should include a 10-Mile radius and should go out ideally a month before the survey closes. </w:t>
      </w:r>
    </w:p>
    <w:p w14:paraId="7B4AE1BB" w14:textId="77777777" w:rsidR="00007E3F" w:rsidRPr="005D6910" w:rsidRDefault="00000000" w:rsidP="00007E3F">
      <w:pPr>
        <w:spacing w:after="240" w:line="256" w:lineRule="auto"/>
        <w:ind w:left="1440" w:hanging="1440"/>
        <w:rPr>
          <w:rFonts w:eastAsia="Times New Roman" w:cs="Times New Roman"/>
        </w:rPr>
      </w:pPr>
      <w:hyperlink w:anchor="CEO_R5" w:history="1">
        <w:r w:rsidR="00007E3F" w:rsidRPr="005D6910">
          <w:rPr>
            <w:b/>
            <w:bCs/>
            <w:color w:val="0000FF"/>
            <w:u w:val="single"/>
          </w:rPr>
          <w:t>CEO R-5</w:t>
        </w:r>
      </w:hyperlink>
      <w:r w:rsidR="00007E3F" w:rsidRPr="005D6910">
        <w:rPr>
          <w:color w:val="0000FF"/>
        </w:rPr>
        <w:tab/>
      </w:r>
      <w:r w:rsidR="00007E3F" w:rsidRPr="005D6910">
        <w:t xml:space="preserve">Notification of CUP completion will include a postcard, email blast, newspaper notification, and social media posts and advertisements. They should be sent to the entire county and occur 24 hours after completion. </w:t>
      </w:r>
    </w:p>
    <w:p w14:paraId="02C2C7EF" w14:textId="77777777" w:rsidR="00007E3F" w:rsidRPr="005D6910" w:rsidRDefault="00000000" w:rsidP="00007E3F">
      <w:pPr>
        <w:spacing w:after="240" w:line="240" w:lineRule="auto"/>
        <w:ind w:left="1440" w:hanging="1440"/>
      </w:pPr>
      <w:hyperlink w:anchor="CEO_R6" w:history="1">
        <w:r w:rsidR="00007E3F" w:rsidRPr="005D6910">
          <w:rPr>
            <w:b/>
            <w:bCs/>
            <w:color w:val="0000FF"/>
            <w:u w:val="single"/>
          </w:rPr>
          <w:t>CEO R-6</w:t>
        </w:r>
      </w:hyperlink>
      <w:r w:rsidR="00007E3F" w:rsidRPr="005D6910">
        <w:rPr>
          <w:color w:val="0000FF"/>
        </w:rPr>
        <w:tab/>
      </w:r>
      <w:r w:rsidR="00007E3F" w:rsidRPr="005D6910">
        <w:t xml:space="preserve">Notifications for Franchise Agreements should include a postcard, email blast, newspaper notification, and social media posts and advertisements. Postcards should be sent to the entire County. Notifications need to begin no later than 24 hours after the agreement. </w:t>
      </w:r>
    </w:p>
    <w:p w14:paraId="057CDF30" w14:textId="77777777" w:rsidR="00007E3F" w:rsidRPr="005D6910" w:rsidRDefault="00000000" w:rsidP="00007E3F">
      <w:pPr>
        <w:spacing w:after="240" w:line="240" w:lineRule="auto"/>
        <w:ind w:left="1440" w:hanging="1440"/>
      </w:pPr>
      <w:hyperlink w:anchor="CEO_R7" w:history="1">
        <w:r w:rsidR="00007E3F" w:rsidRPr="005D6910">
          <w:rPr>
            <w:b/>
            <w:bCs/>
            <w:color w:val="0000FF"/>
            <w:u w:val="single"/>
          </w:rPr>
          <w:t>CEO R-7</w:t>
        </w:r>
      </w:hyperlink>
      <w:r w:rsidR="00007E3F" w:rsidRPr="005D6910">
        <w:rPr>
          <w:color w:val="0000FF"/>
        </w:rPr>
        <w:tab/>
      </w:r>
      <w:r w:rsidR="00007E3F" w:rsidRPr="005D6910">
        <w:t xml:space="preserve">Notifications for Planning Commission Meetings should include website posts and email blasts to interested groups and people already on the existing email list. The notifications should be sent no later than two weeks before the meeting. </w:t>
      </w:r>
    </w:p>
    <w:p w14:paraId="228AF33B" w14:textId="77777777" w:rsidR="00007E3F" w:rsidRPr="005D6910" w:rsidRDefault="00000000" w:rsidP="00007E3F">
      <w:pPr>
        <w:spacing w:after="240" w:line="240" w:lineRule="auto"/>
        <w:ind w:left="1440" w:hanging="1440"/>
      </w:pPr>
      <w:hyperlink w:anchor="CEO_R8" w:history="1">
        <w:r w:rsidR="00007E3F" w:rsidRPr="005D6910">
          <w:rPr>
            <w:b/>
            <w:bCs/>
            <w:color w:val="0000FF"/>
            <w:u w:val="single"/>
          </w:rPr>
          <w:t>CEO R-8</w:t>
        </w:r>
      </w:hyperlink>
      <w:r w:rsidR="00007E3F" w:rsidRPr="005D6910">
        <w:tab/>
        <w:t>Notifications for SWAC Meetings should include website posts and email blasts to interested groups and people already on the existing email list. The notifications should be sent one to two weeks before the meeting.</w:t>
      </w:r>
    </w:p>
    <w:p w14:paraId="5BD52A68" w14:textId="77777777" w:rsidR="00007E3F" w:rsidRPr="00007E3F" w:rsidRDefault="00007E3F" w:rsidP="00007E3F"/>
    <w:p w14:paraId="6F279CD2" w14:textId="77777777" w:rsidR="00007E3F" w:rsidRPr="00007E3F" w:rsidRDefault="00007E3F" w:rsidP="00007E3F"/>
    <w:sectPr w:rsidR="00007E3F" w:rsidRPr="00007E3F">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0A48" w14:textId="77777777" w:rsidR="00FB3035" w:rsidRDefault="00FB3035" w:rsidP="000F2501">
      <w:pPr>
        <w:spacing w:after="0" w:line="240" w:lineRule="auto"/>
      </w:pPr>
      <w:r>
        <w:separator/>
      </w:r>
    </w:p>
  </w:endnote>
  <w:endnote w:type="continuationSeparator" w:id="0">
    <w:p w14:paraId="056EF606" w14:textId="77777777" w:rsidR="00FB3035" w:rsidRDefault="00FB3035" w:rsidP="000F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25121"/>
      <w:docPartObj>
        <w:docPartGallery w:val="Page Numbers (Bottom of Page)"/>
        <w:docPartUnique/>
      </w:docPartObj>
    </w:sdtPr>
    <w:sdtEndPr>
      <w:rPr>
        <w:noProof/>
      </w:rPr>
    </w:sdtEndPr>
    <w:sdtContent>
      <w:p w14:paraId="5A8F0A1F" w14:textId="022D173F" w:rsidR="008501DA" w:rsidRDefault="00850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58E89" w14:textId="77777777" w:rsidR="00A92F1F" w:rsidRDefault="00A92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4F28" w14:textId="77777777" w:rsidR="00FB3035" w:rsidRDefault="00FB3035" w:rsidP="000F2501">
      <w:pPr>
        <w:spacing w:after="0" w:line="240" w:lineRule="auto"/>
      </w:pPr>
      <w:r>
        <w:separator/>
      </w:r>
    </w:p>
  </w:footnote>
  <w:footnote w:type="continuationSeparator" w:id="0">
    <w:p w14:paraId="5FB42036" w14:textId="77777777" w:rsidR="00FB3035" w:rsidRDefault="00FB3035" w:rsidP="000F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D97C" w14:textId="13A0E743" w:rsidR="00A92F1F" w:rsidRDefault="00000000">
    <w:pPr>
      <w:pStyle w:val="Header"/>
    </w:pPr>
    <w:r>
      <w:rPr>
        <w:noProof/>
      </w:rPr>
      <w:pict w14:anchorId="382F8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2719" o:spid="_x0000_s1026" type="#_x0000_t136" style="position:absolute;margin-left:0;margin-top:0;width:476.55pt;height:183.3pt;rotation:315;z-index:-25165516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C66D" w14:textId="0358AC53" w:rsidR="00A92F1F" w:rsidRDefault="00000000">
    <w:pPr>
      <w:pStyle w:val="Header"/>
    </w:pPr>
    <w:r>
      <w:rPr>
        <w:noProof/>
      </w:rPr>
      <w:pict w14:anchorId="29CB9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2720" o:spid="_x0000_s1027" type="#_x0000_t136" style="position:absolute;margin-left:0;margin-top:0;width:476.55pt;height:183.3pt;rotation:315;z-index:-251653120;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19C" w14:textId="773D6FAB" w:rsidR="00A92F1F" w:rsidRDefault="00000000">
    <w:pPr>
      <w:pStyle w:val="Header"/>
    </w:pPr>
    <w:r>
      <w:rPr>
        <w:noProof/>
      </w:rPr>
      <w:pict w14:anchorId="51BDB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2718" o:spid="_x0000_s1025" type="#_x0000_t136" style="position:absolute;margin-left:0;margin-top:0;width:476.55pt;height:183.3pt;rotation:315;z-index:-251657216;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A64"/>
    <w:multiLevelType w:val="multilevel"/>
    <w:tmpl w:val="739CC61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8965D3"/>
    <w:multiLevelType w:val="hybridMultilevel"/>
    <w:tmpl w:val="20EA2A3C"/>
    <w:lvl w:ilvl="0" w:tplc="1E5E727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C1483"/>
    <w:multiLevelType w:val="hybridMultilevel"/>
    <w:tmpl w:val="4DD6605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0E27F1"/>
    <w:multiLevelType w:val="hybridMultilevel"/>
    <w:tmpl w:val="6BF64DB4"/>
    <w:lvl w:ilvl="0" w:tplc="862CBBEC">
      <w:start w:val="1"/>
      <w:numFmt w:val="decimal"/>
      <w:lvlText w:val="CUP R-%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61BF8"/>
    <w:multiLevelType w:val="hybridMultilevel"/>
    <w:tmpl w:val="ED5217FE"/>
    <w:lvl w:ilvl="0" w:tplc="094E477C">
      <w:start w:val="1"/>
      <w:numFmt w:val="upperLetter"/>
      <w:lvlText w:val="%1."/>
      <w:lvlJc w:val="left"/>
      <w:pPr>
        <w:ind w:left="810" w:hanging="360"/>
      </w:pPr>
      <w:rPr>
        <w:rFonts w:hint="default"/>
        <w:b/>
        <w:color w:val="23487B"/>
        <w:sz w:val="24"/>
        <w:szCs w:val="24"/>
        <w:u w:val="none"/>
      </w:rPr>
    </w:lvl>
    <w:lvl w:ilvl="1" w:tplc="DE1450B8">
      <w:start w:val="1"/>
      <w:numFmt w:val="lowerLetter"/>
      <w:pStyle w:val="BCTTStyle3"/>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9215432"/>
    <w:multiLevelType w:val="hybridMultilevel"/>
    <w:tmpl w:val="021A02AE"/>
    <w:lvl w:ilvl="0" w:tplc="F146D0BA">
      <w:start w:val="2"/>
      <w:numFmt w:val="bullet"/>
      <w:lvlText w:val="-"/>
      <w:lvlJc w:val="left"/>
      <w:pPr>
        <w:ind w:left="720" w:hanging="360"/>
      </w:pPr>
      <w:rPr>
        <w:rFonts w:ascii="Palatino Linotype" w:eastAsiaTheme="minorHAnsi" w:hAnsi="Palatino Linotype"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411FD"/>
    <w:multiLevelType w:val="hybridMultilevel"/>
    <w:tmpl w:val="7122B1F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 w15:restartNumberingAfterBreak="0">
    <w:nsid w:val="5A5B2B45"/>
    <w:multiLevelType w:val="hybridMultilevel"/>
    <w:tmpl w:val="62F6D0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C1151F7"/>
    <w:multiLevelType w:val="hybridMultilevel"/>
    <w:tmpl w:val="4B3812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64C81BBB"/>
    <w:multiLevelType w:val="hybridMultilevel"/>
    <w:tmpl w:val="97B46676"/>
    <w:lvl w:ilvl="0" w:tplc="4DD45614">
      <w:start w:val="1"/>
      <w:numFmt w:val="decimal"/>
      <w:lvlText w:val="CUP F-%1"/>
      <w:lvlJc w:val="left"/>
      <w:pPr>
        <w:ind w:left="810" w:hanging="360"/>
      </w:pPr>
      <w:rPr>
        <w:rFonts w:asciiTheme="minorHAnsi" w:hAnsiTheme="minorHAnsi" w:cstheme="minorHAnsi"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046961">
    <w:abstractNumId w:val="0"/>
  </w:num>
  <w:num w:numId="2" w16cid:durableId="555942692">
    <w:abstractNumId w:val="4"/>
  </w:num>
  <w:num w:numId="3" w16cid:durableId="1003778502">
    <w:abstractNumId w:val="6"/>
  </w:num>
  <w:num w:numId="4" w16cid:durableId="33964409">
    <w:abstractNumId w:val="7"/>
  </w:num>
  <w:num w:numId="5" w16cid:durableId="183373487">
    <w:abstractNumId w:val="8"/>
  </w:num>
  <w:num w:numId="6" w16cid:durableId="148374424">
    <w:abstractNumId w:val="1"/>
  </w:num>
  <w:num w:numId="7" w16cid:durableId="421872392">
    <w:abstractNumId w:val="9"/>
  </w:num>
  <w:num w:numId="8" w16cid:durableId="1361276968">
    <w:abstractNumId w:val="3"/>
  </w:num>
  <w:num w:numId="9" w16cid:durableId="968243221">
    <w:abstractNumId w:val="2"/>
  </w:num>
  <w:num w:numId="10" w16cid:durableId="1156528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01"/>
    <w:rsid w:val="00007E3F"/>
    <w:rsid w:val="000573EC"/>
    <w:rsid w:val="000F2501"/>
    <w:rsid w:val="00111D84"/>
    <w:rsid w:val="001148FC"/>
    <w:rsid w:val="00144356"/>
    <w:rsid w:val="0018646D"/>
    <w:rsid w:val="001A12F9"/>
    <w:rsid w:val="001E2DB5"/>
    <w:rsid w:val="001E398A"/>
    <w:rsid w:val="001F5D7C"/>
    <w:rsid w:val="002549D2"/>
    <w:rsid w:val="002C0999"/>
    <w:rsid w:val="002F7445"/>
    <w:rsid w:val="003354A1"/>
    <w:rsid w:val="003874B8"/>
    <w:rsid w:val="004465F2"/>
    <w:rsid w:val="004D6E8A"/>
    <w:rsid w:val="00502F9C"/>
    <w:rsid w:val="005949F1"/>
    <w:rsid w:val="005A185B"/>
    <w:rsid w:val="005C0573"/>
    <w:rsid w:val="005D082E"/>
    <w:rsid w:val="0068404A"/>
    <w:rsid w:val="006B1234"/>
    <w:rsid w:val="006E546C"/>
    <w:rsid w:val="0073427B"/>
    <w:rsid w:val="00735A70"/>
    <w:rsid w:val="00765448"/>
    <w:rsid w:val="00797333"/>
    <w:rsid w:val="008501DA"/>
    <w:rsid w:val="008533DE"/>
    <w:rsid w:val="008A56B0"/>
    <w:rsid w:val="008C36F1"/>
    <w:rsid w:val="00941D63"/>
    <w:rsid w:val="0096196A"/>
    <w:rsid w:val="0099257F"/>
    <w:rsid w:val="009D4009"/>
    <w:rsid w:val="00A14A6D"/>
    <w:rsid w:val="00A220B0"/>
    <w:rsid w:val="00A7074E"/>
    <w:rsid w:val="00A92F1F"/>
    <w:rsid w:val="00AC4714"/>
    <w:rsid w:val="00AD3FE3"/>
    <w:rsid w:val="00AE3D38"/>
    <w:rsid w:val="00B0195A"/>
    <w:rsid w:val="00B94A40"/>
    <w:rsid w:val="00BE0376"/>
    <w:rsid w:val="00BF55FF"/>
    <w:rsid w:val="00CF58A5"/>
    <w:rsid w:val="00D942F1"/>
    <w:rsid w:val="00DC21D4"/>
    <w:rsid w:val="00E329E5"/>
    <w:rsid w:val="00E42C3F"/>
    <w:rsid w:val="00EA527E"/>
    <w:rsid w:val="00FB3035"/>
    <w:rsid w:val="00FC7F32"/>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E3A80"/>
  <w15:chartTrackingRefBased/>
  <w15:docId w15:val="{F75C7491-704C-41ED-AC13-6E6509C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01"/>
    <w:rPr>
      <w:rFonts w:ascii="Palatino Linotype" w:hAnsi="Palatino Linotype"/>
      <w:szCs w:val="20"/>
    </w:rPr>
  </w:style>
  <w:style w:type="paragraph" w:styleId="Heading1">
    <w:name w:val="heading 1"/>
    <w:basedOn w:val="Normal"/>
    <w:next w:val="Normal"/>
    <w:link w:val="Heading1Char"/>
    <w:uiPriority w:val="9"/>
    <w:qFormat/>
    <w:rsid w:val="000F2501"/>
    <w:pPr>
      <w:keepNext/>
      <w:keepLines/>
      <w:spacing w:before="240" w:after="0"/>
      <w:outlineLvl w:val="0"/>
    </w:pPr>
    <w:rPr>
      <w:rFonts w:eastAsia="Times New Roman"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501"/>
    <w:rPr>
      <w:color w:val="0563C1" w:themeColor="hyperlink"/>
      <w:u w:val="single"/>
    </w:rPr>
  </w:style>
  <w:style w:type="character" w:styleId="CommentReference">
    <w:name w:val="annotation reference"/>
    <w:basedOn w:val="DefaultParagraphFont"/>
    <w:uiPriority w:val="99"/>
    <w:semiHidden/>
    <w:unhideWhenUsed/>
    <w:rsid w:val="000F2501"/>
    <w:rPr>
      <w:sz w:val="16"/>
      <w:szCs w:val="16"/>
    </w:rPr>
  </w:style>
  <w:style w:type="paragraph" w:styleId="CommentText">
    <w:name w:val="annotation text"/>
    <w:basedOn w:val="Normal"/>
    <w:link w:val="CommentTextChar"/>
    <w:uiPriority w:val="99"/>
    <w:unhideWhenUsed/>
    <w:rsid w:val="000F2501"/>
    <w:pPr>
      <w:spacing w:line="240" w:lineRule="auto"/>
    </w:pPr>
    <w:rPr>
      <w:sz w:val="20"/>
    </w:rPr>
  </w:style>
  <w:style w:type="character" w:customStyle="1" w:styleId="CommentTextChar">
    <w:name w:val="Comment Text Char"/>
    <w:basedOn w:val="DefaultParagraphFont"/>
    <w:link w:val="CommentText"/>
    <w:uiPriority w:val="99"/>
    <w:rsid w:val="000F2501"/>
    <w:rPr>
      <w:rFonts w:ascii="Palatino Linotype" w:hAnsi="Palatino Linotype"/>
      <w:sz w:val="20"/>
      <w:szCs w:val="20"/>
    </w:rPr>
  </w:style>
  <w:style w:type="paragraph" w:styleId="FootnoteText">
    <w:name w:val="footnote text"/>
    <w:basedOn w:val="Normal"/>
    <w:link w:val="FootnoteTextChar"/>
    <w:uiPriority w:val="99"/>
    <w:unhideWhenUsed/>
    <w:rsid w:val="000F2501"/>
    <w:pPr>
      <w:spacing w:after="0" w:line="240" w:lineRule="auto"/>
    </w:pPr>
    <w:rPr>
      <w:sz w:val="20"/>
    </w:rPr>
  </w:style>
  <w:style w:type="character" w:customStyle="1" w:styleId="FootnoteTextChar">
    <w:name w:val="Footnote Text Char"/>
    <w:basedOn w:val="DefaultParagraphFont"/>
    <w:link w:val="FootnoteText"/>
    <w:uiPriority w:val="99"/>
    <w:rsid w:val="000F2501"/>
    <w:rPr>
      <w:rFonts w:ascii="Palatino Linotype" w:hAnsi="Palatino Linotype"/>
      <w:sz w:val="20"/>
      <w:szCs w:val="20"/>
    </w:rPr>
  </w:style>
  <w:style w:type="character" w:styleId="FootnoteReference">
    <w:name w:val="footnote reference"/>
    <w:basedOn w:val="DefaultParagraphFont"/>
    <w:uiPriority w:val="99"/>
    <w:semiHidden/>
    <w:unhideWhenUsed/>
    <w:rsid w:val="000F2501"/>
    <w:rPr>
      <w:vertAlign w:val="superscript"/>
    </w:rPr>
  </w:style>
  <w:style w:type="character" w:customStyle="1" w:styleId="Heading1Char">
    <w:name w:val="Heading 1 Char"/>
    <w:basedOn w:val="DefaultParagraphFont"/>
    <w:link w:val="Heading1"/>
    <w:uiPriority w:val="9"/>
    <w:rsid w:val="000F2501"/>
    <w:rPr>
      <w:rFonts w:ascii="Palatino Linotype" w:eastAsia="Times New Roman" w:hAnsi="Palatino Linotype" w:cstheme="majorBidi"/>
      <w:color w:val="2F5496" w:themeColor="accent1" w:themeShade="BF"/>
      <w:sz w:val="32"/>
      <w:szCs w:val="32"/>
    </w:rPr>
  </w:style>
  <w:style w:type="paragraph" w:styleId="ListParagraph">
    <w:name w:val="List Paragraph"/>
    <w:basedOn w:val="Normal"/>
    <w:link w:val="ListParagraphChar"/>
    <w:uiPriority w:val="34"/>
    <w:qFormat/>
    <w:rsid w:val="00007E3F"/>
    <w:pPr>
      <w:ind w:left="720"/>
      <w:contextualSpacing/>
    </w:pPr>
  </w:style>
  <w:style w:type="paragraph" w:styleId="NoSpacing">
    <w:name w:val="No Spacing"/>
    <w:link w:val="NoSpacingChar"/>
    <w:uiPriority w:val="1"/>
    <w:qFormat/>
    <w:rsid w:val="00007E3F"/>
    <w:pPr>
      <w:spacing w:after="0" w:line="240" w:lineRule="auto"/>
    </w:pPr>
    <w:rPr>
      <w:rFonts w:ascii="Palatino Linotype" w:hAnsi="Palatino Linotype"/>
      <w:szCs w:val="20"/>
    </w:rPr>
  </w:style>
  <w:style w:type="character" w:customStyle="1" w:styleId="NoSpacingChar">
    <w:name w:val="No Spacing Char"/>
    <w:basedOn w:val="DefaultParagraphFont"/>
    <w:link w:val="NoSpacing"/>
    <w:uiPriority w:val="1"/>
    <w:rsid w:val="00007E3F"/>
    <w:rPr>
      <w:rFonts w:ascii="Palatino Linotype" w:hAnsi="Palatino Linotype"/>
      <w:szCs w:val="20"/>
    </w:rPr>
  </w:style>
  <w:style w:type="paragraph" w:customStyle="1" w:styleId="BCTTStyle3">
    <w:name w:val="BCTT Style 3"/>
    <w:basedOn w:val="ListParagraph"/>
    <w:link w:val="BCTTStyle3Char"/>
    <w:qFormat/>
    <w:rsid w:val="00007E3F"/>
    <w:pPr>
      <w:numPr>
        <w:ilvl w:val="1"/>
        <w:numId w:val="2"/>
      </w:numPr>
      <w:spacing w:after="240" w:line="240" w:lineRule="auto"/>
      <w:ind w:left="360"/>
    </w:pPr>
    <w:rPr>
      <w:b/>
    </w:rPr>
  </w:style>
  <w:style w:type="character" w:customStyle="1" w:styleId="ListParagraphChar">
    <w:name w:val="List Paragraph Char"/>
    <w:basedOn w:val="DefaultParagraphFont"/>
    <w:link w:val="ListParagraph"/>
    <w:uiPriority w:val="34"/>
    <w:rsid w:val="00007E3F"/>
    <w:rPr>
      <w:rFonts w:ascii="Palatino Linotype" w:hAnsi="Palatino Linotype"/>
      <w:szCs w:val="20"/>
    </w:rPr>
  </w:style>
  <w:style w:type="character" w:customStyle="1" w:styleId="BCTTStyle3Char">
    <w:name w:val="BCTT Style 3 Char"/>
    <w:basedOn w:val="ListParagraphChar"/>
    <w:link w:val="BCTTStyle3"/>
    <w:rsid w:val="00007E3F"/>
    <w:rPr>
      <w:rFonts w:ascii="Palatino Linotype" w:hAnsi="Palatino Linotype"/>
      <w:b/>
      <w:szCs w:val="20"/>
    </w:rPr>
  </w:style>
  <w:style w:type="character" w:customStyle="1" w:styleId="cf01">
    <w:name w:val="cf01"/>
    <w:basedOn w:val="DefaultParagraphFont"/>
    <w:rsid w:val="00007E3F"/>
    <w:rPr>
      <w:rFonts w:ascii="Segoe UI" w:hAnsi="Segoe UI" w:cs="Segoe UI" w:hint="default"/>
      <w:sz w:val="18"/>
      <w:szCs w:val="18"/>
    </w:rPr>
  </w:style>
  <w:style w:type="paragraph" w:styleId="TOCHeading">
    <w:name w:val="TOC Heading"/>
    <w:basedOn w:val="Heading1"/>
    <w:next w:val="Normal"/>
    <w:uiPriority w:val="39"/>
    <w:unhideWhenUsed/>
    <w:qFormat/>
    <w:rsid w:val="00007E3F"/>
    <w:pPr>
      <w:outlineLvl w:val="9"/>
    </w:pPr>
    <w:rPr>
      <w:rFonts w:asciiTheme="majorHAnsi" w:eastAsiaTheme="majorEastAsia" w:hAnsiTheme="majorHAnsi"/>
    </w:rPr>
  </w:style>
  <w:style w:type="paragraph" w:styleId="TOC1">
    <w:name w:val="toc 1"/>
    <w:basedOn w:val="Normal"/>
    <w:next w:val="Normal"/>
    <w:autoRedefine/>
    <w:uiPriority w:val="39"/>
    <w:unhideWhenUsed/>
    <w:rsid w:val="00007E3F"/>
    <w:pPr>
      <w:spacing w:after="100"/>
    </w:pPr>
  </w:style>
  <w:style w:type="paragraph" w:styleId="Header">
    <w:name w:val="header"/>
    <w:basedOn w:val="Normal"/>
    <w:link w:val="HeaderChar"/>
    <w:uiPriority w:val="99"/>
    <w:unhideWhenUsed/>
    <w:rsid w:val="00A9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1F"/>
    <w:rPr>
      <w:rFonts w:ascii="Palatino Linotype" w:hAnsi="Palatino Linotype"/>
      <w:szCs w:val="20"/>
    </w:rPr>
  </w:style>
  <w:style w:type="paragraph" w:styleId="Footer">
    <w:name w:val="footer"/>
    <w:basedOn w:val="Normal"/>
    <w:link w:val="FooterChar"/>
    <w:uiPriority w:val="99"/>
    <w:unhideWhenUsed/>
    <w:rsid w:val="00A9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1F"/>
    <w:rPr>
      <w:rFonts w:ascii="Palatino Linotype" w:hAnsi="Palatino Linotype"/>
      <w:szCs w:val="20"/>
    </w:rPr>
  </w:style>
  <w:style w:type="character" w:styleId="FollowedHyperlink">
    <w:name w:val="FollowedHyperlink"/>
    <w:basedOn w:val="DefaultParagraphFont"/>
    <w:uiPriority w:val="99"/>
    <w:semiHidden/>
    <w:unhideWhenUsed/>
    <w:rsid w:val="009D4009"/>
    <w:rPr>
      <w:color w:val="954F72" w:themeColor="followedHyperlink"/>
      <w:u w:val="single"/>
    </w:rPr>
  </w:style>
  <w:style w:type="character" w:styleId="UnresolvedMention">
    <w:name w:val="Unresolved Mention"/>
    <w:basedOn w:val="DefaultParagraphFont"/>
    <w:uiPriority w:val="99"/>
    <w:semiHidden/>
    <w:unhideWhenUsed/>
    <w:rsid w:val="0050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benton.or.us/sites/default/files/fileattachments/community_development/page/8139/2013_coffin_butte-prc_annual_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m%20Imperati\AppData\Local\Microsoft\Windows\INetCache\Content.Outlook\KMTYAA0F\lessons_learn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34186F02ACA41BF383C93F7A4FF12" ma:contentTypeVersion="4" ma:contentTypeDescription="Create a new document." ma:contentTypeScope="" ma:versionID="d85b2fee7760cb8590b5e5fe51a23240">
  <xsd:schema xmlns:xsd="http://www.w3.org/2001/XMLSchema" xmlns:xs="http://www.w3.org/2001/XMLSchema" xmlns:p="http://schemas.microsoft.com/office/2006/metadata/properties" xmlns:ns2="e77405e0-973e-4621-980b-3c1a47f390df" xmlns:ns3="b014f41c-055e-4d80-b111-2d31123103ce" targetNamespace="http://schemas.microsoft.com/office/2006/metadata/properties" ma:root="true" ma:fieldsID="7c15238ef3679f12be4bddc100b6dadd" ns2:_="" ns3:_="">
    <xsd:import namespace="e77405e0-973e-4621-980b-3c1a47f390df"/>
    <xsd:import namespace="b014f41c-055e-4d80-b111-2d3112310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405e0-973e-4621-980b-3c1a47f39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4f41c-055e-4d80-b111-2d3112310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594C-679D-42D2-845D-D2EED4510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57B7B-04AD-4972-B65D-9F7035F0C51C}">
  <ds:schemaRefs>
    <ds:schemaRef ds:uri="http://schemas.microsoft.com/sharepoint/v3/contenttype/forms"/>
  </ds:schemaRefs>
</ds:datastoreItem>
</file>

<file path=customXml/itemProps3.xml><?xml version="1.0" encoding="utf-8"?>
<ds:datastoreItem xmlns:ds="http://schemas.openxmlformats.org/officeDocument/2006/customXml" ds:itemID="{5745DA26-0C39-4E66-B01E-A6D455BD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405e0-973e-4621-980b-3c1a47f390df"/>
    <ds:schemaRef ds:uri="b014f41c-055e-4d80-b111-2d3112310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DF986-7DD3-4830-96E7-10BD1613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9777</Words>
  <Characters>55732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Benton County - Oregon</Company>
  <LinksUpToDate>false</LinksUpToDate>
  <CharactersWithSpaces>65379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REDICK Daniel</dc:creator>
  <cp:keywords/>
  <dc:description/>
  <cp:lastModifiedBy>Sam Imperati</cp:lastModifiedBy>
  <cp:revision>2</cp:revision>
  <dcterms:created xsi:type="dcterms:W3CDTF">2023-02-23T18:48:00Z</dcterms:created>
  <dcterms:modified xsi:type="dcterms:W3CDTF">2023-02-23T18:48:00Z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0x010100C7334186F02ACA41BF383C93F7A4FF12</vt:lpwstr>
  </property>
  <property fmtid="{D5CDD505-2E9C-101B-9397-08002B2CF9AE}" pid="3" name="GrammarlyDocumentId">
    <vt:lpwstr>11e76962f11e7b327e98769fb20f8866219782cb9f537ed665cc7c48870ab709</vt:lpwstr>
  </property>
</Properties>
</file>