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5801" w14:textId="0DB2A311" w:rsidR="008010EF" w:rsidRDefault="00A01823" w:rsidP="008010EF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COMMON UNDERSTANDINGS TABLE OF CONTENTS</w:t>
      </w:r>
    </w:p>
    <w:p w14:paraId="7110E671" w14:textId="58F43E1D" w:rsidR="008010EF" w:rsidRDefault="008010EF" w:rsidP="008010EF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TRACK CHANGE</w:t>
      </w:r>
      <w:r w:rsidR="00A01823">
        <w:rPr>
          <w:b/>
          <w:bCs/>
          <w:color w:val="0070C0"/>
          <w:sz w:val="28"/>
          <w:szCs w:val="28"/>
        </w:rPr>
        <w:t xml:space="preserve"> INPUT</w:t>
      </w:r>
      <w:r w:rsidR="007074DE">
        <w:rPr>
          <w:b/>
          <w:bCs/>
          <w:color w:val="0070C0"/>
          <w:sz w:val="28"/>
          <w:szCs w:val="28"/>
        </w:rPr>
        <w:t xml:space="preserve"> REQUEST</w:t>
      </w:r>
    </w:p>
    <w:p w14:paraId="0D561F3A" w14:textId="7BB9D150" w:rsidR="00185921" w:rsidRDefault="008010EF" w:rsidP="007074DE">
      <w:pPr>
        <w:rPr>
          <w:sz w:val="24"/>
          <w:szCs w:val="24"/>
        </w:rPr>
      </w:pPr>
      <w:r w:rsidRPr="007074DE">
        <w:rPr>
          <w:sz w:val="24"/>
          <w:szCs w:val="24"/>
        </w:rPr>
        <w:t>Please make</w:t>
      </w:r>
      <w:r w:rsidR="00185921">
        <w:rPr>
          <w:sz w:val="24"/>
          <w:szCs w:val="24"/>
        </w:rPr>
        <w:t xml:space="preserve"> </w:t>
      </w:r>
      <w:r w:rsidR="007074DE">
        <w:rPr>
          <w:sz w:val="24"/>
          <w:szCs w:val="24"/>
        </w:rPr>
        <w:t>your</w:t>
      </w:r>
      <w:r w:rsidRPr="007074DE">
        <w:rPr>
          <w:sz w:val="24"/>
          <w:szCs w:val="24"/>
        </w:rPr>
        <w:t xml:space="preserve"> track change</w:t>
      </w:r>
      <w:r w:rsidR="00185921">
        <w:rPr>
          <w:sz w:val="24"/>
          <w:szCs w:val="24"/>
        </w:rPr>
        <w:t xml:space="preserve"> </w:t>
      </w:r>
      <w:r w:rsidRPr="007074DE">
        <w:rPr>
          <w:sz w:val="24"/>
          <w:szCs w:val="24"/>
        </w:rPr>
        <w:t>s</w:t>
      </w:r>
      <w:r w:rsidR="00185921">
        <w:rPr>
          <w:sz w:val="24"/>
          <w:szCs w:val="24"/>
        </w:rPr>
        <w:t>uggestions</w:t>
      </w:r>
      <w:r w:rsidRPr="007074DE">
        <w:rPr>
          <w:sz w:val="24"/>
          <w:szCs w:val="24"/>
        </w:rPr>
        <w:t xml:space="preserve"> to the following document</w:t>
      </w:r>
      <w:r w:rsidR="007074DE">
        <w:rPr>
          <w:sz w:val="24"/>
          <w:szCs w:val="24"/>
        </w:rPr>
        <w:t xml:space="preserve">. </w:t>
      </w:r>
      <w:r w:rsidR="00185921">
        <w:rPr>
          <w:sz w:val="24"/>
          <w:szCs w:val="24"/>
        </w:rPr>
        <w:t xml:space="preserve">You do not need to add </w:t>
      </w:r>
      <w:r w:rsidR="0015149E">
        <w:rPr>
          <w:sz w:val="24"/>
          <w:szCs w:val="24"/>
        </w:rPr>
        <w:t>suggestions as to where they go in the last three columns.  We will do that later.</w:t>
      </w:r>
    </w:p>
    <w:p w14:paraId="662BA180" w14:textId="3BF899D6" w:rsidR="007074DE" w:rsidRDefault="007074DE" w:rsidP="007074DE">
      <w:r>
        <w:rPr>
          <w:rFonts w:cstheme="minorHAnsi"/>
        </w:rPr>
        <w:t>When done, please</w:t>
      </w:r>
      <w:r>
        <w:rPr>
          <w:sz w:val="24"/>
          <w:szCs w:val="24"/>
        </w:rPr>
        <w:t xml:space="preserve"> label </w:t>
      </w:r>
      <w:r w:rsidR="00185921">
        <w:rPr>
          <w:sz w:val="24"/>
          <w:szCs w:val="24"/>
        </w:rPr>
        <w:t xml:space="preserve">it, </w:t>
      </w:r>
      <w:r w:rsidRPr="004D1CFF">
        <w:rPr>
          <w:rFonts w:ascii="Calibri Light" w:hAnsi="Calibri Light" w:cs="Calibri Light"/>
          <w:b/>
          <w:bCs/>
        </w:rPr>
        <w:t xml:space="preserve">[Your Last Name], </w:t>
      </w:r>
      <w:r>
        <w:rPr>
          <w:rFonts w:ascii="Calibri Light" w:hAnsi="Calibri Light" w:cs="Calibri Light"/>
          <w:b/>
          <w:bCs/>
        </w:rPr>
        <w:t>TOC</w:t>
      </w:r>
      <w:r w:rsidR="00185921">
        <w:rPr>
          <w:rFonts w:ascii="Calibri Light" w:hAnsi="Calibri Light" w:cs="Calibri Light"/>
          <w:b/>
          <w:bCs/>
        </w:rPr>
        <w:t xml:space="preserve"> RECOMMENDATIONS</w:t>
      </w:r>
      <w:r>
        <w:rPr>
          <w:rFonts w:ascii="Calibri Light" w:hAnsi="Calibri Light" w:cs="Calibri Light"/>
          <w:b/>
          <w:bCs/>
        </w:rPr>
        <w:t xml:space="preserve">, </w:t>
      </w:r>
      <w:r w:rsidRPr="004D1CFF">
        <w:t xml:space="preserve">and send it to </w:t>
      </w:r>
      <w:hyperlink r:id="rId6" w:history="1">
        <w:r w:rsidRPr="004D1CFF">
          <w:rPr>
            <w:rStyle w:val="Hyperlink"/>
          </w:rPr>
          <w:t>bentoncountytalkstrash@Co.Benton.OR.US</w:t>
        </w:r>
      </w:hyperlink>
      <w:r w:rsidRPr="004D1CFF">
        <w:t xml:space="preserve"> </w:t>
      </w:r>
      <w:r w:rsidRPr="004D1CFF">
        <w:rPr>
          <w:b/>
          <w:bCs/>
        </w:rPr>
        <w:t>&amp;</w:t>
      </w:r>
      <w:r w:rsidRPr="004D1CFF">
        <w:t> </w:t>
      </w:r>
      <w:hyperlink r:id="rId7" w:history="1">
        <w:r w:rsidRPr="004D1CFF">
          <w:rPr>
            <w:rStyle w:val="Hyperlink"/>
          </w:rPr>
          <w:t>SamImperati@ICMresolutions.com</w:t>
        </w:r>
      </w:hyperlink>
      <w:r w:rsidRPr="004D1CFF">
        <w:t xml:space="preserve"> as </w:t>
      </w:r>
      <w:r>
        <w:t>a Word document – not a PDF for ease of combining the input… Thanks!</w:t>
      </w:r>
      <w:r w:rsidRPr="004D1CFF">
        <w:t xml:space="preserve"> </w:t>
      </w:r>
    </w:p>
    <w:p w14:paraId="64C62ED8" w14:textId="41DFC71C" w:rsidR="00185921" w:rsidRDefault="00185921" w:rsidP="001859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there are any documents you would like to include with your track changes, please add them to your homework email. </w:t>
      </w:r>
    </w:p>
    <w:p w14:paraId="40E652F7" w14:textId="5F09A6BE" w:rsidR="00185921" w:rsidRDefault="00185921" w:rsidP="00185921">
      <w:pPr>
        <w:spacing w:after="0" w:line="240" w:lineRule="auto"/>
        <w:rPr>
          <w:rFonts w:cstheme="minorHAnsi"/>
          <w:sz w:val="24"/>
          <w:szCs w:val="24"/>
        </w:rPr>
      </w:pPr>
    </w:p>
    <w:p w14:paraId="32DF8DBB" w14:textId="1362752A" w:rsidR="007074DE" w:rsidRDefault="007074DE" w:rsidP="007074DE">
      <w:pPr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</w:rPr>
        <w:t xml:space="preserve">DUE DATE: </w:t>
      </w:r>
      <w:r w:rsidRPr="008E5952">
        <w:rPr>
          <w:b/>
          <w:bCs/>
          <w:sz w:val="28"/>
          <w:szCs w:val="28"/>
        </w:rPr>
        <w:t xml:space="preserve">Thursday, September </w:t>
      </w:r>
      <w:proofErr w:type="gramStart"/>
      <w:r w:rsidRPr="008E5952">
        <w:rPr>
          <w:b/>
          <w:bCs/>
          <w:sz w:val="28"/>
          <w:szCs w:val="28"/>
        </w:rPr>
        <w:t>22</w:t>
      </w:r>
      <w:r w:rsidRPr="008E5952">
        <w:rPr>
          <w:b/>
          <w:bCs/>
          <w:sz w:val="28"/>
          <w:szCs w:val="28"/>
          <w:vertAlign w:val="superscript"/>
        </w:rPr>
        <w:t>st</w:t>
      </w:r>
      <w:proofErr w:type="gramEnd"/>
      <w:r w:rsidRPr="008E5952">
        <w:rPr>
          <w:b/>
          <w:bCs/>
          <w:sz w:val="28"/>
          <w:szCs w:val="28"/>
        </w:rPr>
        <w:t xml:space="preserve"> at 9:00 AM.</w:t>
      </w:r>
    </w:p>
    <w:p w14:paraId="7206AF82" w14:textId="77777777" w:rsidR="00185921" w:rsidRDefault="00185921" w:rsidP="008010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B8BCEB" w14:textId="0CCEBBC8" w:rsidR="008010EF" w:rsidRPr="003D6220" w:rsidRDefault="008010EF" w:rsidP="008010EF">
      <w:pPr>
        <w:spacing w:after="0" w:line="240" w:lineRule="auto"/>
        <w:rPr>
          <w:rFonts w:cstheme="minorHAnsi"/>
          <w:sz w:val="24"/>
          <w:szCs w:val="24"/>
        </w:rPr>
      </w:pPr>
      <w:r w:rsidRPr="008010EF">
        <w:rPr>
          <w:rFonts w:cstheme="minorHAnsi"/>
          <w:b/>
          <w:bCs/>
          <w:sz w:val="24"/>
          <w:szCs w:val="24"/>
        </w:rPr>
        <w:t>NOTE:</w:t>
      </w:r>
      <w:r>
        <w:rPr>
          <w:rFonts w:cstheme="minorHAnsi"/>
          <w:sz w:val="24"/>
          <w:szCs w:val="24"/>
        </w:rPr>
        <w:t xml:space="preserve"> The text highlighted</w:t>
      </w:r>
      <w:r w:rsidR="007074DE">
        <w:rPr>
          <w:rFonts w:cstheme="minorHAnsi"/>
          <w:sz w:val="24"/>
          <w:szCs w:val="24"/>
        </w:rPr>
        <w:t xml:space="preserve"> below </w:t>
      </w:r>
      <w:r>
        <w:rPr>
          <w:rFonts w:cstheme="minorHAnsi"/>
          <w:sz w:val="24"/>
          <w:szCs w:val="24"/>
        </w:rPr>
        <w:t xml:space="preserve">in </w:t>
      </w:r>
      <w:r w:rsidRPr="008010EF">
        <w:rPr>
          <w:rFonts w:cstheme="minorHAnsi"/>
          <w:sz w:val="24"/>
          <w:szCs w:val="24"/>
          <w:highlight w:val="yellow"/>
        </w:rPr>
        <w:t>yellow</w:t>
      </w:r>
      <w:r>
        <w:rPr>
          <w:rFonts w:cstheme="minorHAnsi"/>
          <w:sz w:val="24"/>
          <w:szCs w:val="24"/>
        </w:rPr>
        <w:t xml:space="preserve"> was added </w:t>
      </w:r>
      <w:r w:rsidRPr="008010EF">
        <w:rPr>
          <w:rFonts w:cstheme="minorHAnsi"/>
          <w:i/>
          <w:iCs/>
          <w:sz w:val="24"/>
          <w:szCs w:val="24"/>
        </w:rPr>
        <w:t>after</w:t>
      </w:r>
      <w:r>
        <w:rPr>
          <w:rFonts w:cstheme="minorHAnsi"/>
          <w:sz w:val="24"/>
          <w:szCs w:val="24"/>
        </w:rPr>
        <w:t xml:space="preserve"> the September 15</w:t>
      </w:r>
      <w:r w:rsidRPr="008010E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workgroup meeting. </w:t>
      </w:r>
    </w:p>
    <w:tbl>
      <w:tblPr>
        <w:tblW w:w="10620" w:type="dxa"/>
        <w:tblInd w:w="-640" w:type="dxa"/>
        <w:tblLook w:val="04A0" w:firstRow="1" w:lastRow="0" w:firstColumn="1" w:lastColumn="0" w:noHBand="0" w:noVBand="1"/>
      </w:tblPr>
      <w:tblGrid>
        <w:gridCol w:w="4863"/>
        <w:gridCol w:w="1887"/>
        <w:gridCol w:w="2160"/>
        <w:gridCol w:w="1710"/>
      </w:tblGrid>
      <w:tr w:rsidR="008010EF" w:rsidRPr="00EE266E" w14:paraId="64504C85" w14:textId="77777777" w:rsidTr="00D13F68">
        <w:trPr>
          <w:trHeight w:val="2415"/>
          <w:tblHeader/>
        </w:trPr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733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IV. Workgroup Recommendations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C9B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70C0"/>
              </w:rPr>
              <w:t>SECTION A: Develop Common Understandings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3546E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70C0"/>
              </w:rPr>
              <w:t>SECTION B: Existing Criteria and Information Requirements for Land Use Review Process of any Landfill Expansion.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E49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70C0"/>
              </w:rPr>
              <w:t>SECTION C: Scope the Necessary Tasks to Start a Long-Term Sustainable Materials Management Plan Process</w:t>
            </w:r>
          </w:p>
        </w:tc>
      </w:tr>
      <w:tr w:rsidR="008010EF" w:rsidRPr="00EE266E" w14:paraId="30E5F382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7947815" w14:textId="77777777" w:rsidR="008010EF" w:rsidRPr="00EE266E" w:rsidRDefault="008010EF" w:rsidP="00D13F68">
            <w:pPr>
              <w:spacing w:after="0" w:line="240" w:lineRule="auto"/>
              <w:ind w:left="255" w:hanging="255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i/>
                <w:iCs/>
              </w:rPr>
              <w:t>1) A chronological history of key Coffin Butte Landfill topics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C1CE" w14:textId="6D0A7784" w:rsidR="008010EF" w:rsidRPr="00EE266E" w:rsidRDefault="0015149E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BF32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C65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4B7E163F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BB933A" w14:textId="77777777" w:rsidR="008010EF" w:rsidRPr="00EE266E" w:rsidRDefault="008010EF" w:rsidP="00D13F68">
            <w:pPr>
              <w:spacing w:after="0" w:line="240" w:lineRule="auto"/>
              <w:ind w:left="435" w:hanging="270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A) History of Solid Waste, Disposal, and Materials Management in Benton County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D91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D41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A37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0F538AA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285F0E" w14:textId="77777777" w:rsidR="008010EF" w:rsidRPr="00EE266E" w:rsidRDefault="008010EF" w:rsidP="00D13F68">
            <w:pPr>
              <w:spacing w:after="0" w:line="240" w:lineRule="auto"/>
              <w:ind w:left="705" w:hanging="270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70C0"/>
              </w:rPr>
              <w:t>1. A brief history of communities in the Coffin Butte/Tampico Ridge area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72B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3C5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53A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3C341C41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8B830F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</w:rPr>
              <w:t xml:space="preserve">(i) Major Themes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C43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819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6C1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A66326D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2CB84A" w14:textId="77777777" w:rsidR="008010EF" w:rsidRPr="00EE266E" w:rsidRDefault="008010EF" w:rsidP="00D13F68">
            <w:pPr>
              <w:spacing w:after="0" w:line="240" w:lineRule="auto"/>
              <w:ind w:left="1065" w:hanging="360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</w:rPr>
              <w:t>(ii) Detailed Timeline of Events (1910-2022)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BE1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053E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FEA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35565038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DA9267D" w14:textId="77777777" w:rsidR="008010EF" w:rsidRPr="004613B3" w:rsidRDefault="008010EF" w:rsidP="00D13F68">
            <w:pPr>
              <w:spacing w:after="0" w:line="240" w:lineRule="auto"/>
              <w:ind w:left="1065" w:hanging="360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4613B3">
              <w:rPr>
                <w:rFonts w:ascii="Calibri" w:eastAsia="Times New Roman" w:hAnsi="Calibri" w:cs="Calibri"/>
                <w:b/>
                <w:bCs/>
                <w:highlight w:val="yellow"/>
              </w:rPr>
              <w:t xml:space="preserve">(iii) History of Recycling and Composting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6474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A302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70E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02E25D17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504950" w14:textId="77777777" w:rsidR="008010EF" w:rsidRPr="00EE266E" w:rsidRDefault="008010EF" w:rsidP="00D13F68">
            <w:pPr>
              <w:spacing w:after="0" w:line="240" w:lineRule="auto"/>
              <w:ind w:left="34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70C0"/>
              </w:rPr>
              <w:t>2. Description of the site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5B2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BFE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1D5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F89C171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119F49A" w14:textId="77777777" w:rsidR="008010EF" w:rsidRPr="004613B3" w:rsidRDefault="008010EF" w:rsidP="00D13F68">
            <w:pPr>
              <w:pStyle w:val="ListParagraph"/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  <w:color w:val="000000" w:themeColor="text1"/>
                <w:highlight w:val="yellow"/>
              </w:rPr>
            </w:pPr>
            <w:r w:rsidRPr="004613B3">
              <w:rPr>
                <w:rFonts w:ascii="Calibri" w:eastAsia="Times New Roman" w:hAnsi="Calibri" w:cs="Calibri"/>
                <w:b/>
                <w:bCs/>
                <w:color w:val="000000" w:themeColor="text1"/>
                <w:highlight w:val="yellow"/>
              </w:rPr>
              <w:t>(i) Site Characterization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9891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D43B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AE5A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7A664AAD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2CECA3E" w14:textId="77777777" w:rsidR="008010EF" w:rsidRPr="004613B3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  <w:color w:val="000000" w:themeColor="text1"/>
                <w:highlight w:val="yellow"/>
              </w:rPr>
            </w:pPr>
            <w:r w:rsidRPr="004613B3">
              <w:rPr>
                <w:b/>
                <w:bCs/>
                <w:color w:val="000000" w:themeColor="text1"/>
                <w:highlight w:val="yellow"/>
              </w:rPr>
              <w:t>(ii) identification/control of disease vectors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17D3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DBF3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3E3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4A2267D4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4BC89C" w14:textId="77777777" w:rsidR="008010EF" w:rsidRPr="00EE266E" w:rsidRDefault="008010EF" w:rsidP="00D13F68">
            <w:pPr>
              <w:spacing w:after="0" w:line="240" w:lineRule="auto"/>
              <w:ind w:left="16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Waste generated within Benton County: historically and projections (Third Party)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D98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9CC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F79D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</w:tr>
      <w:tr w:rsidR="008010EF" w:rsidRPr="00EE266E" w14:paraId="52F20912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F5FC5F" w14:textId="77777777" w:rsidR="008010EF" w:rsidRPr="00EE266E" w:rsidRDefault="008010EF" w:rsidP="00D13F68">
            <w:pPr>
              <w:spacing w:after="0" w:line="240" w:lineRule="auto"/>
              <w:ind w:left="16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lastRenderedPageBreak/>
              <w:t>B) Landfill Size and Development History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7F8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8482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206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D386709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A52DD98" w14:textId="77777777" w:rsidR="008010EF" w:rsidRPr="00EE266E" w:rsidRDefault="008010EF" w:rsidP="00D13F68">
            <w:pPr>
              <w:spacing w:after="0" w:line="240" w:lineRule="auto"/>
              <w:ind w:left="165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>
              <w:rPr>
                <w:highlight w:val="yellow"/>
              </w:rPr>
              <w:t>Change in Landfill footprint over time (Graphic)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BD2D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3FB3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92B8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7ABE5A87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D5A18E" w14:textId="77777777" w:rsidR="008010EF" w:rsidRPr="00EE266E" w:rsidRDefault="008010EF" w:rsidP="00D13F68">
            <w:pPr>
              <w:spacing w:after="0" w:line="240" w:lineRule="auto"/>
              <w:ind w:left="975" w:hanging="270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</w:rPr>
              <w:t>(i) Intake Volume History at Coffin Butte Landfill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A3E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63D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9B7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3D36578D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3A3EAB2" w14:textId="77777777" w:rsidR="008010EF" w:rsidRPr="003B7599" w:rsidRDefault="008010EF" w:rsidP="00D13F68">
            <w:pPr>
              <w:spacing w:after="0" w:line="240" w:lineRule="auto"/>
              <w:ind w:left="1245"/>
              <w:rPr>
                <w:rFonts w:ascii="Calibri" w:eastAsia="Times New Roman" w:hAnsi="Calibri" w:cs="Calibri"/>
              </w:rPr>
            </w:pPr>
            <w:r w:rsidRPr="003B7599">
              <w:rPr>
                <w:rFonts w:ascii="Calibri" w:eastAsia="Times New Roman" w:hAnsi="Calibri" w:cs="Calibri"/>
                <w:highlight w:val="yellow"/>
              </w:rPr>
              <w:t>Annotated volume chart with major timeline of events</w:t>
            </w:r>
            <w:r w:rsidRPr="003B7599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FA00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260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DB8C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3D4BBF26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C98AF8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</w:rPr>
              <w:t>(ii) The Quarry Problem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548A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F79E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4BE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5D43E420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DF0F3AB" w14:textId="77777777" w:rsidR="008010EF" w:rsidRPr="003B7599" w:rsidRDefault="008010EF" w:rsidP="00D13F68">
            <w:pPr>
              <w:spacing w:after="0" w:line="240" w:lineRule="auto"/>
              <w:ind w:left="1245"/>
              <w:rPr>
                <w:rFonts w:ascii="Calibri" w:eastAsia="Times New Roman" w:hAnsi="Calibri" w:cs="Calibri"/>
              </w:rPr>
            </w:pPr>
            <w:r w:rsidRPr="003B7599">
              <w:rPr>
                <w:rFonts w:ascii="Calibri" w:eastAsia="Times New Roman" w:hAnsi="Calibri" w:cs="Calibri"/>
                <w:highlight w:val="yellow"/>
              </w:rPr>
              <w:t>Additional Quarry considerations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98F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8741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CA6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441405D5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9392A5" w14:textId="77777777" w:rsidR="008010EF" w:rsidRPr="00EE266E" w:rsidRDefault="008010EF" w:rsidP="00D13F68">
            <w:pPr>
              <w:spacing w:after="0" w:line="240" w:lineRule="auto"/>
              <w:ind w:left="16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C) Specific Landfill Locations and Cell Size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707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C19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D70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3718AB85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F309CBC" w14:textId="77777777" w:rsidR="008010EF" w:rsidRPr="003B7599" w:rsidRDefault="008010EF" w:rsidP="00D13F68">
            <w:pPr>
              <w:spacing w:after="0" w:line="240" w:lineRule="auto"/>
              <w:ind w:left="1245"/>
              <w:rPr>
                <w:rFonts w:ascii="Calibri" w:eastAsia="Times New Roman" w:hAnsi="Calibri" w:cs="Calibri"/>
                <w:color w:val="4472C4" w:themeColor="accent1"/>
              </w:rPr>
            </w:pPr>
            <w:r w:rsidRPr="003B7599">
              <w:rPr>
                <w:rFonts w:ascii="Calibri" w:eastAsia="Times New Roman" w:hAnsi="Calibri" w:cs="Calibri"/>
                <w:color w:val="000000" w:themeColor="text1"/>
                <w:highlight w:val="yellow"/>
              </w:rPr>
              <w:t>Clarifying existing landfill zoning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9C8C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D35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2C5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78236B87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4878E3B5" w14:textId="77777777" w:rsidR="008010EF" w:rsidRPr="00EE266E" w:rsidRDefault="008010EF" w:rsidP="00D13F68">
            <w:pPr>
              <w:spacing w:after="0" w:line="240" w:lineRule="auto"/>
              <w:ind w:left="435" w:hanging="270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D) Conditions and Compliance of past land use approvals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812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8C4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960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3877D3DB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01E10F16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CP-74-01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67F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C96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336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340C59F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68073F70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PC-83-02; L-83-07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A57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E69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444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DB808B6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66EA061A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LD-88-11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0D22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9B3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040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73B9115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08330051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PC-94-03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E0DE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7C6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D6B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E7636D1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3339965D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PC-94-10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4F6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895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EE2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18910AE6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6821A6B2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PC-94-11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F26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16E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AD9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6192B0B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0F5BC923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S-97-58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044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EDD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E323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4460A8F0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2E950E47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PC-99-06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85F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570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C8F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64963102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4B3DC6AB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PC-02-07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72E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C72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2F1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7A5FC49D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70E2FC68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PC-03-11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041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A5D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3D5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1D89A94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4706C534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LU-11-016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33A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9C3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36C2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37DB9B04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6DAEDB08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LU-13-061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B5B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4A4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B91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1D6712DC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7ED6BA32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LU -15- 001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16E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CCB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88E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5A35D1CC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  <w:hideMark/>
          </w:tcPr>
          <w:p w14:paraId="164B4EF3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LU-21-047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8FA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D4AE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CBB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A383578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</w:tcPr>
          <w:p w14:paraId="5DBE6B87" w14:textId="77777777" w:rsidR="008010EF" w:rsidRPr="003B7599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highlight w:val="yellow"/>
              </w:rPr>
            </w:pPr>
            <w:r w:rsidRPr="003B7599">
              <w:rPr>
                <w:rFonts w:ascii="Calibri" w:eastAsia="Times New Roman" w:hAnsi="Calibri" w:cs="Calibri"/>
                <w:highlight w:val="yellow"/>
              </w:rPr>
              <w:t xml:space="preserve">Missing Land Use Decisions?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013E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75F8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982B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5493E162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D5F3"/>
            <w:vAlign w:val="center"/>
          </w:tcPr>
          <w:p w14:paraId="2967FCA9" w14:textId="77777777" w:rsidR="008010EF" w:rsidRPr="003B7599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highlight w:val="yellow"/>
              </w:rPr>
            </w:pPr>
            <w:r w:rsidRPr="003B7599">
              <w:rPr>
                <w:rFonts w:ascii="Calibri" w:eastAsia="Times New Roman" w:hAnsi="Calibri" w:cs="Calibri"/>
                <w:highlight w:val="yellow"/>
              </w:rPr>
              <w:t xml:space="preserve">Most Recent Land Use Compatibility Statement (LUCS)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49E7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D2A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D9E0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04ED78F4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B9B9"/>
            <w:vAlign w:val="center"/>
            <w:hideMark/>
          </w:tcPr>
          <w:p w14:paraId="483A55F3" w14:textId="77777777" w:rsidR="008010EF" w:rsidRPr="00EE266E" w:rsidRDefault="008010EF" w:rsidP="00D13F68">
            <w:pPr>
              <w:spacing w:after="0" w:line="240" w:lineRule="auto"/>
              <w:ind w:left="16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E) Reporting requirements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33F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E7F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BDC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65A5C1C3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545CD35" w14:textId="77777777" w:rsidR="008010EF" w:rsidRPr="00EE266E" w:rsidRDefault="008010EF" w:rsidP="00D13F68">
            <w:pPr>
              <w:spacing w:after="0" w:line="240" w:lineRule="auto"/>
              <w:ind w:left="16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F) Assumptions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364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363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9FD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87CE913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3073AB2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(i) When will the landfill close?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84D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406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27C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02A50AC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B062C49" w14:textId="77777777" w:rsidR="008010EF" w:rsidRPr="00EE266E" w:rsidRDefault="008010EF" w:rsidP="00D13F68">
            <w:pPr>
              <w:spacing w:after="0" w:line="240" w:lineRule="auto"/>
              <w:ind w:left="124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lastRenderedPageBreak/>
              <w:t>Landfill Capacity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B0B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CE7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ACC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17E2E3E0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2658C0E" w14:textId="77777777" w:rsidR="008010EF" w:rsidRPr="00EE266E" w:rsidRDefault="008010EF" w:rsidP="00D13F68">
            <w:pPr>
              <w:spacing w:after="0" w:line="240" w:lineRule="auto"/>
              <w:ind w:left="124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Fill Rate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F06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205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CA4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C01DE89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64CCE0F" w14:textId="77777777" w:rsidR="008010EF" w:rsidRPr="00EE266E" w:rsidRDefault="008010EF" w:rsidP="00D13F68">
            <w:pPr>
              <w:spacing w:after="0" w:line="240" w:lineRule="auto"/>
              <w:ind w:left="124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 xml:space="preserve">Projected Future Capacity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037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F8C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54A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5832CB8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EC30822" w14:textId="77777777" w:rsidR="008010EF" w:rsidRPr="00EE266E" w:rsidRDefault="008010EF" w:rsidP="00D13F68">
            <w:pPr>
              <w:spacing w:after="0" w:line="240" w:lineRule="auto"/>
              <w:ind w:left="124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Projected Future Fill Rate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DC6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979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731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47FA8615" w14:textId="77777777" w:rsidTr="00D13F68">
        <w:trPr>
          <w:trHeight w:val="9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45744A5" w14:textId="77777777" w:rsidR="008010EF" w:rsidRPr="00EE266E" w:rsidRDefault="008010EF" w:rsidP="00D13F68">
            <w:pPr>
              <w:spacing w:after="0" w:line="240" w:lineRule="auto"/>
              <w:ind w:left="1065" w:hanging="36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(ii) Can Benton County prohibit solid waste generated outside the county from being deposited at Coffin Butte landfill?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317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2FBDE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4D7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1CBE2974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0F6AD04" w14:textId="77777777" w:rsidR="008010EF" w:rsidRPr="00EE266E" w:rsidRDefault="008010EF" w:rsidP="00D13F68">
            <w:pPr>
              <w:spacing w:after="0" w:line="240" w:lineRule="auto"/>
              <w:ind w:left="1065" w:hanging="36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(iii) Is Coffin Butte a Regional Disposal Site?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670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DCB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7DB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3C973D3C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6491BA9" w14:textId="77777777" w:rsidR="008010EF" w:rsidRPr="00EE266E" w:rsidRDefault="008010EF" w:rsidP="00D13F68">
            <w:pPr>
              <w:spacing w:after="0" w:line="240" w:lineRule="auto"/>
              <w:ind w:left="1065" w:hanging="36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(iv) Is DEQ prohibited from permitting another landfill west of the Cascades?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F80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62B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BA4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420B84B2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114F6AC" w14:textId="77777777" w:rsidR="008010EF" w:rsidRPr="00EE266E" w:rsidRDefault="008010EF" w:rsidP="00D13F68">
            <w:pPr>
              <w:spacing w:after="0" w:line="240" w:lineRule="auto"/>
              <w:ind w:left="1065" w:hanging="36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(v) Coffin Butte Landfill Environmental Impacts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F01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606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EBD2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8D0310A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EEE7D5A" w14:textId="77777777" w:rsidR="008010EF" w:rsidRPr="00EE266E" w:rsidRDefault="008010EF" w:rsidP="00D13F68">
            <w:pPr>
              <w:spacing w:after="0" w:line="240" w:lineRule="auto"/>
              <w:ind w:left="133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Leachate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B39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B102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4FD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13817CF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5F608E0" w14:textId="77777777" w:rsidR="008010EF" w:rsidRPr="00EE266E" w:rsidRDefault="008010EF" w:rsidP="00D13F68">
            <w:pPr>
              <w:spacing w:after="0" w:line="240" w:lineRule="auto"/>
              <w:ind w:left="133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Landfill Gas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4B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B41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C3E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1D73E206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FF612D9" w14:textId="77777777" w:rsidR="008010EF" w:rsidRPr="00EE266E" w:rsidRDefault="008010EF" w:rsidP="00D13F68">
            <w:pPr>
              <w:spacing w:after="0" w:line="240" w:lineRule="auto"/>
              <w:ind w:left="133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Wildlife Impacts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06F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376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200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1497709C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1B2B11D" w14:textId="77777777" w:rsidR="008010EF" w:rsidRPr="00EE266E" w:rsidRDefault="008010EF" w:rsidP="00D13F68">
            <w:pPr>
              <w:spacing w:after="0" w:line="240" w:lineRule="auto"/>
              <w:ind w:left="133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Traffic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4A1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938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6DF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51F514F6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0C7C127" w14:textId="77777777" w:rsidR="008010EF" w:rsidRPr="00EE266E" w:rsidRDefault="008010EF" w:rsidP="00D13F68">
            <w:pPr>
              <w:spacing w:after="0" w:line="240" w:lineRule="auto"/>
              <w:ind w:left="133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Visual Environment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BCA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111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383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61E9B836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231FFED" w14:textId="77777777" w:rsidR="008010EF" w:rsidRPr="00EE266E" w:rsidRDefault="008010EF" w:rsidP="00D13F68">
            <w:pPr>
              <w:spacing w:after="0" w:line="240" w:lineRule="auto"/>
              <w:ind w:left="133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Long-Term Impacts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09C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F99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486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0CBC782" w14:textId="77777777" w:rsidTr="00D13F68">
        <w:trPr>
          <w:trHeight w:val="9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E4CE82D" w14:textId="77777777" w:rsidR="008010EF" w:rsidRPr="00EE266E" w:rsidRDefault="008010EF" w:rsidP="00D13F68">
            <w:pPr>
              <w:spacing w:after="0" w:line="240" w:lineRule="auto"/>
              <w:ind w:left="1065" w:hanging="36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(vi) Coffin Butte Landfill Operational Impacts: “What are the rules that govern the landfill? Is it complying?”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EA2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B1E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060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31E16B3F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4B18A0A" w14:textId="77777777" w:rsidR="008010EF" w:rsidRPr="00EE266E" w:rsidRDefault="008010EF" w:rsidP="00D13F68">
            <w:pPr>
              <w:spacing w:after="0" w:line="240" w:lineRule="auto"/>
              <w:ind w:left="133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Benton County Resources and Infrastructure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63D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36DE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C48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176250FB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FDC1652" w14:textId="77777777" w:rsidR="008010EF" w:rsidRPr="00EE266E" w:rsidRDefault="008010EF" w:rsidP="00D13F68">
            <w:pPr>
              <w:spacing w:after="0" w:line="240" w:lineRule="auto"/>
              <w:ind w:left="133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Benton County Citizens and Landfill Neighbors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17B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803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7B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7E83455C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1C97D6F" w14:textId="77777777" w:rsidR="008010EF" w:rsidRPr="00EE266E" w:rsidRDefault="008010EF" w:rsidP="00D13F68">
            <w:pPr>
              <w:spacing w:after="0" w:line="240" w:lineRule="auto"/>
              <w:ind w:left="133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Regulatory: EPA &amp; Oregon DEQ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D36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0C9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74C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6253629" w14:textId="77777777" w:rsidTr="00D13F68">
        <w:trPr>
          <w:trHeight w:val="9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D08E98A" w14:textId="77777777" w:rsidR="008010EF" w:rsidRPr="00EE266E" w:rsidRDefault="008010EF" w:rsidP="00D13F68">
            <w:pPr>
              <w:spacing w:after="0" w:line="240" w:lineRule="auto"/>
              <w:ind w:left="133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Coffin Butte Landfill Closure: Process, Timeline, Operator Liability, Potential Franchisee Resistance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4043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647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ACD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374586A8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C9B8C3F" w14:textId="77777777" w:rsidR="008010EF" w:rsidRPr="00EE266E" w:rsidRDefault="008010EF" w:rsidP="00D13F68">
            <w:pPr>
              <w:spacing w:after="0" w:line="240" w:lineRule="auto"/>
              <w:ind w:left="133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Franchisee Business Impact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466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68A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FE7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4AE1991E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14BA9F0" w14:textId="77777777" w:rsidR="008010EF" w:rsidRPr="00EE266E" w:rsidRDefault="008010EF" w:rsidP="00D13F68">
            <w:pPr>
              <w:spacing w:after="0" w:line="240" w:lineRule="auto"/>
              <w:ind w:left="133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Business and Legal Envelopes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FF0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9B2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931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2E09EDB" w14:textId="77777777" w:rsidTr="00D13F68">
        <w:trPr>
          <w:trHeight w:val="9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BBC03D7" w14:textId="77777777" w:rsidR="008010EF" w:rsidRPr="00EE266E" w:rsidRDefault="008010EF" w:rsidP="00D13F68">
            <w:pPr>
              <w:spacing w:after="0" w:line="240" w:lineRule="auto"/>
              <w:ind w:left="1155" w:hanging="45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(vii) Coffin Butte Landfill Public Safety Impacts: “What risks does the landfill create for the county?”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372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C50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F41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56E8A888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E3AF260" w14:textId="77777777" w:rsidR="008010EF" w:rsidRPr="00EE266E" w:rsidRDefault="008010EF" w:rsidP="00D13F68">
            <w:pPr>
              <w:spacing w:after="0" w:line="240" w:lineRule="auto"/>
              <w:ind w:left="1695" w:hanging="270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1. Risks of Fire, including persistent fire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3D4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5C4E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E6D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3693C2FA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696439F" w14:textId="77777777" w:rsidR="008010EF" w:rsidRPr="00EE266E" w:rsidRDefault="008010EF" w:rsidP="00D13F68">
            <w:pPr>
              <w:spacing w:after="0" w:line="240" w:lineRule="auto"/>
              <w:ind w:left="142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2. Risks of Earthquake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F8E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EDC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54D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1AAA90D1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DABC8DC" w14:textId="77777777" w:rsidR="008010EF" w:rsidRPr="00EE266E" w:rsidRDefault="008010EF" w:rsidP="00D13F68">
            <w:pPr>
              <w:spacing w:after="0" w:line="240" w:lineRule="auto"/>
              <w:ind w:left="142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3. Risks from Hazardous Waste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8A2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833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B40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63BC75C9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C8269B6" w14:textId="77777777" w:rsidR="008010EF" w:rsidRPr="00EE266E" w:rsidRDefault="008010EF" w:rsidP="00D13F68">
            <w:pPr>
              <w:spacing w:after="0" w:line="240" w:lineRule="auto"/>
              <w:ind w:left="142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4. Risks from PFAS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1F0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BE1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458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713538B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FFF7D28" w14:textId="77777777" w:rsidR="008010EF" w:rsidRPr="00EE266E" w:rsidRDefault="008010EF" w:rsidP="00D13F68">
            <w:pPr>
              <w:spacing w:after="0" w:line="240" w:lineRule="auto"/>
              <w:ind w:left="1605" w:hanging="180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5. Risks from Flood (and Extreme Flooding Conditions)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38E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D9C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45D1" w14:textId="77777777" w:rsidR="008010EF" w:rsidRPr="00EE266E" w:rsidRDefault="008010EF" w:rsidP="00D13F68">
            <w:pPr>
              <w:spacing w:after="0" w:line="240" w:lineRule="auto"/>
              <w:ind w:right="526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35729A04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B78D590" w14:textId="77777777" w:rsidR="008010EF" w:rsidRPr="00EE266E" w:rsidRDefault="008010EF" w:rsidP="00D13F68">
            <w:pPr>
              <w:spacing w:after="0" w:line="240" w:lineRule="auto"/>
              <w:ind w:left="142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6. Risks of Extended Power Outages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B58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1C912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B86E2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70D0A3D4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88B667F" w14:textId="77777777" w:rsidR="008010EF" w:rsidRPr="00EE266E" w:rsidRDefault="008010EF" w:rsidP="00D13F68">
            <w:pPr>
              <w:spacing w:after="0" w:line="240" w:lineRule="auto"/>
              <w:ind w:left="142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7. Risks of Concatenating Disasters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BDD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B1202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D15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6821BA62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F29FDF2" w14:textId="77777777" w:rsidR="008010EF" w:rsidRPr="00EE266E" w:rsidRDefault="008010EF" w:rsidP="00D13F68">
            <w:pPr>
              <w:spacing w:after="0" w:line="240" w:lineRule="auto"/>
              <w:ind w:left="142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8. Groundwater contamination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FDF3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301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F12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1BF07338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0F8264D" w14:textId="77777777" w:rsidR="008010EF" w:rsidRPr="00EE266E" w:rsidRDefault="008010EF" w:rsidP="00D13F68">
            <w:pPr>
              <w:spacing w:after="0" w:line="240" w:lineRule="auto"/>
              <w:ind w:left="1245" w:hanging="54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(viii) Coffin Butte Landfill Economic Impacts: “What are the economic effects of the landfill?”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5CF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7FD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5A2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8CD10DE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280F824" w14:textId="77777777" w:rsidR="008010EF" w:rsidRPr="00EE266E" w:rsidRDefault="008010EF" w:rsidP="00D13F68">
            <w:pPr>
              <w:spacing w:after="0" w:line="240" w:lineRule="auto"/>
              <w:ind w:left="1425"/>
              <w:rPr>
                <w:rFonts w:ascii="Calibri" w:eastAsia="Times New Roman" w:hAnsi="Calibri" w:cs="Calibri"/>
                <w:color w:val="000000" w:themeColor="text1"/>
              </w:rPr>
            </w:pPr>
            <w:r w:rsidRPr="00EE266E">
              <w:rPr>
                <w:rFonts w:ascii="Calibri" w:eastAsia="Times New Roman" w:hAnsi="Calibri" w:cs="Calibri"/>
                <w:color w:val="000000" w:themeColor="text1"/>
              </w:rPr>
              <w:t>Customer Interests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843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58C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8A3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6611C9E7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E0CCBCB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highlight w:val="yellow"/>
              </w:rPr>
              <w:t>Full lifecycle impacts of materials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31EF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792A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17E2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5FA12F98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37B890B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highlight w:val="yellow"/>
              </w:rPr>
              <w:t>State of Oregon Solid Waste Management Plan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55AF0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E914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79CA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62C344BD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5ABC956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highlight w:val="yellow"/>
              </w:rPr>
              <w:t>Impacts from new state legislation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7D06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2789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9717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7AE068E7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830E451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highlight w:val="yellow"/>
              </w:rPr>
              <w:t>State Values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3F99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69D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785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5F39FCC0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E256FF0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highlight w:val="yellow"/>
              </w:rPr>
              <w:t>County 2040 Initiative Core Values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4142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58DA2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7508E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2F67F6C9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A22F30" w14:textId="77777777" w:rsidR="008010EF" w:rsidRPr="00EE266E" w:rsidRDefault="008010EF" w:rsidP="00D13F68">
            <w:pPr>
              <w:spacing w:after="0" w:line="240" w:lineRule="auto"/>
              <w:ind w:left="165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70C0"/>
              </w:rPr>
              <w:t>G) Economics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16C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E86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608E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1E0E3647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27356A2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</w:rPr>
              <w:t>(i) Landfill Fees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F67F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EDE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DD4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55493B94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4505D4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</w:rPr>
              <w:t>(ii) Collection Franchise Fees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6D2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7AE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2AC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076E685E" w14:textId="77777777" w:rsidTr="00D13F68">
        <w:trPr>
          <w:trHeight w:val="9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57F7434" w14:textId="77777777" w:rsidR="008010EF" w:rsidRPr="00EE266E" w:rsidRDefault="008010EF" w:rsidP="00D13F68">
            <w:pPr>
              <w:spacing w:after="0" w:line="240" w:lineRule="auto"/>
              <w:ind w:left="1065" w:hanging="360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</w:rPr>
              <w:t>(iii) Cost of disposal in Coffin Butte Landfill compared to other Regional Landfill or disposal option?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EE1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DF3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5DE1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772296CD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1A699A5" w14:textId="77777777" w:rsidR="008010EF" w:rsidRPr="00EE266E" w:rsidRDefault="008010EF" w:rsidP="00D13F68">
            <w:pPr>
              <w:spacing w:after="0" w:line="240" w:lineRule="auto"/>
              <w:ind w:left="16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color w:val="0070C0"/>
              </w:rPr>
              <w:t>H) Examples From Jurisdictions Hosting Landfills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10AF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45C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996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6CF536DF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5003D1F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</w:rPr>
              <w:t>(i) Gilliam County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917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A62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D04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475EA609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646F07E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</w:rPr>
              <w:t xml:space="preserve">(ii) Morrow County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BF6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C40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68A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8EACD72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514792B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</w:rPr>
              <w:t>(iii) Yamhill County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2E8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BF7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6BA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69FB54F4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2D857D8" w14:textId="77777777" w:rsidR="008010EF" w:rsidRPr="00EE266E" w:rsidRDefault="008010EF" w:rsidP="00D13F68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</w:rPr>
              <w:lastRenderedPageBreak/>
              <w:t>(iv) Lane County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ED39B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CED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707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1732E84D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9F6F8AB" w14:textId="77777777" w:rsidR="008010EF" w:rsidRPr="00EE266E" w:rsidRDefault="008010EF" w:rsidP="00D13F68">
            <w:pPr>
              <w:spacing w:after="0" w:line="240" w:lineRule="auto"/>
              <w:ind w:left="975" w:hanging="270"/>
              <w:rPr>
                <w:rFonts w:ascii="Calibri" w:eastAsia="Times New Roman" w:hAnsi="Calibri" w:cs="Calibri"/>
                <w:b/>
                <w:b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</w:rPr>
              <w:t>(v) issue sequencing (land-use or hauling approval first)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A4C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DB9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979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14976F65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069C28" w14:textId="77777777" w:rsidR="008010EF" w:rsidRPr="00EE266E" w:rsidRDefault="008010EF" w:rsidP="00D13F68">
            <w:pPr>
              <w:spacing w:after="0" w:line="240" w:lineRule="auto"/>
              <w:ind w:left="255" w:hanging="255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2) Republic Services and Benton County’s Current Rights and Obligations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574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900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9C49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9E1C9E1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92520" w14:textId="77777777" w:rsidR="008010EF" w:rsidRPr="003B7599" w:rsidRDefault="008010EF" w:rsidP="00D13F68">
            <w:pPr>
              <w:spacing w:after="0" w:line="240" w:lineRule="auto"/>
              <w:ind w:left="345"/>
              <w:rPr>
                <w:rFonts w:ascii="Calibri" w:eastAsia="Times New Roman" w:hAnsi="Calibri" w:cs="Calibri"/>
                <w:b/>
                <w:bCs/>
                <w:i/>
                <w:iCs/>
                <w:highlight w:val="yellow"/>
              </w:rPr>
            </w:pPr>
            <w:r w:rsidRPr="003B7599">
              <w:rPr>
                <w:highlight w:val="yellow"/>
              </w:rPr>
              <w:t>How county agreements interact with other jurisdictions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1EF46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5488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CB67E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611A94BD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A88DD" w14:textId="77777777" w:rsidR="008010EF" w:rsidRPr="003B7599" w:rsidRDefault="008010EF" w:rsidP="00D13F68">
            <w:pPr>
              <w:spacing w:after="0" w:line="240" w:lineRule="auto"/>
              <w:ind w:left="345"/>
              <w:rPr>
                <w:rFonts w:ascii="Calibri" w:eastAsia="Times New Roman" w:hAnsi="Calibri" w:cs="Calibri"/>
                <w:b/>
                <w:bCs/>
                <w:i/>
                <w:iCs/>
                <w:highlight w:val="yellow"/>
              </w:rPr>
            </w:pPr>
            <w:r w:rsidRPr="003B7599">
              <w:rPr>
                <w:highlight w:val="yellow"/>
              </w:rPr>
              <w:t>How county agreements interact with other jurisdictions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1751A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6591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7788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3759BEFD" w14:textId="77777777" w:rsidTr="00D13F68">
        <w:trPr>
          <w:trHeight w:val="6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90C12" w14:textId="77777777" w:rsidR="008010EF" w:rsidRPr="003B7599" w:rsidRDefault="008010EF" w:rsidP="00D13F68">
            <w:pPr>
              <w:spacing w:after="0" w:line="240" w:lineRule="auto"/>
              <w:ind w:left="345"/>
              <w:rPr>
                <w:rFonts w:ascii="Calibri" w:eastAsia="Times New Roman" w:hAnsi="Calibri" w:cs="Calibri"/>
                <w:b/>
                <w:bCs/>
                <w:i/>
                <w:iCs/>
                <w:highlight w:val="yellow"/>
              </w:rPr>
            </w:pPr>
            <w:r w:rsidRPr="003B7599">
              <w:rPr>
                <w:highlight w:val="yellow"/>
              </w:rPr>
              <w:t>Contractual considerations and dynamics for Coffin Butte Landfill for future decision-making: franchise, quarry, agreements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1009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0192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38B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010EF" w:rsidRPr="00EE266E" w14:paraId="2E21695E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C927" w14:textId="77777777" w:rsidR="008010EF" w:rsidRPr="00EE266E" w:rsidRDefault="008010EF" w:rsidP="00D13F68">
            <w:pPr>
              <w:spacing w:after="0" w:line="240" w:lineRule="auto"/>
              <w:ind w:left="34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Landfill Rights and Obligations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19D7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657F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AAC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22C133C7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0E65" w14:textId="77777777" w:rsidR="008010EF" w:rsidRPr="00EE266E" w:rsidRDefault="008010EF" w:rsidP="00D13F68">
            <w:pPr>
              <w:spacing w:after="0" w:line="240" w:lineRule="auto"/>
              <w:ind w:left="345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Collection Rights and Obligations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0AF7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6A24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BAB3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  <w:tr w:rsidR="008010EF" w:rsidRPr="00EE266E" w14:paraId="32338260" w14:textId="77777777" w:rsidTr="00D13F68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8EC2F75" w14:textId="77777777" w:rsidR="008010EF" w:rsidRPr="00EE266E" w:rsidRDefault="008010EF" w:rsidP="00D13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E266E">
              <w:rPr>
                <w:rFonts w:ascii="Calibri" w:eastAsia="Times New Roman" w:hAnsi="Calibri" w:cs="Calibri"/>
                <w:b/>
                <w:bCs/>
                <w:i/>
                <w:iCs/>
              </w:rPr>
              <w:t>3) Other Entity Rights and Obligations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975C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87ED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7155" w14:textId="77777777" w:rsidR="008010EF" w:rsidRPr="00EE266E" w:rsidRDefault="008010EF" w:rsidP="00D13F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266E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7D1D7510" w14:textId="77777777" w:rsidR="008010EF" w:rsidRDefault="008010EF" w:rsidP="008010EF"/>
    <w:p w14:paraId="6A1971D0" w14:textId="77777777" w:rsidR="00487A53" w:rsidRDefault="00487A53"/>
    <w:sectPr w:rsidR="00487A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D94D" w14:textId="77777777" w:rsidR="00DD1F2C" w:rsidRDefault="00B1489F">
      <w:pPr>
        <w:spacing w:after="0" w:line="240" w:lineRule="auto"/>
      </w:pPr>
      <w:r>
        <w:separator/>
      </w:r>
    </w:p>
  </w:endnote>
  <w:endnote w:type="continuationSeparator" w:id="0">
    <w:p w14:paraId="29677D74" w14:textId="77777777" w:rsidR="00DD1F2C" w:rsidRDefault="00B1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889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0DEFF" w14:textId="77777777" w:rsidR="004613B3" w:rsidRDefault="008010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7C3F6" w14:textId="77777777" w:rsidR="004613B3" w:rsidRDefault="00C77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7C34" w14:textId="77777777" w:rsidR="00DD1F2C" w:rsidRDefault="00B1489F">
      <w:pPr>
        <w:spacing w:after="0" w:line="240" w:lineRule="auto"/>
      </w:pPr>
      <w:r>
        <w:separator/>
      </w:r>
    </w:p>
  </w:footnote>
  <w:footnote w:type="continuationSeparator" w:id="0">
    <w:p w14:paraId="02CC2709" w14:textId="77777777" w:rsidR="00DD1F2C" w:rsidRDefault="00B14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EF"/>
    <w:rsid w:val="0015149E"/>
    <w:rsid w:val="00185921"/>
    <w:rsid w:val="001F4149"/>
    <w:rsid w:val="00487A53"/>
    <w:rsid w:val="007074DE"/>
    <w:rsid w:val="008010EF"/>
    <w:rsid w:val="00A01823"/>
    <w:rsid w:val="00B1489F"/>
    <w:rsid w:val="00C774E1"/>
    <w:rsid w:val="00D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8DFD"/>
  <w15:chartTrackingRefBased/>
  <w15:docId w15:val="{5BE29241-A3D7-4507-9F80-F9B3EED2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EF"/>
  </w:style>
  <w:style w:type="paragraph" w:styleId="ListParagraph">
    <w:name w:val="List Paragraph"/>
    <w:basedOn w:val="Normal"/>
    <w:uiPriority w:val="34"/>
    <w:qFormat/>
    <w:rsid w:val="00801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0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mImperati@ICMresolu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toncountytalkstrash@Co.Benton.OR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Imperati</dc:creator>
  <cp:keywords/>
  <dc:description/>
  <cp:lastModifiedBy>Sam Imperati</cp:lastModifiedBy>
  <cp:revision>6</cp:revision>
  <dcterms:created xsi:type="dcterms:W3CDTF">2022-09-16T20:05:00Z</dcterms:created>
  <dcterms:modified xsi:type="dcterms:W3CDTF">2022-09-17T21:31:00Z</dcterms:modified>
</cp:coreProperties>
</file>