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7.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4FF15" w14:textId="77777777" w:rsidR="006F646F" w:rsidRPr="0041791D" w:rsidRDefault="006F646F" w:rsidP="006F646F">
      <w:pPr>
        <w:pStyle w:val="BCTTStyle3"/>
        <w:numPr>
          <w:ilvl w:val="0"/>
          <w:numId w:val="0"/>
        </w:numPr>
        <w:ind w:left="360"/>
        <w:rPr>
          <w:rFonts w:asciiTheme="minorHAnsi" w:hAnsiTheme="minorHAnsi" w:cstheme="minorHAnsi"/>
          <w:sz w:val="24"/>
          <w:szCs w:val="24"/>
        </w:rPr>
      </w:pPr>
      <w:bookmarkStart w:id="0" w:name="_Toc128666780"/>
      <w:bookmarkStart w:id="1" w:name="AppendixC2"/>
      <w:r w:rsidRPr="0041791D">
        <w:rPr>
          <w:rFonts w:asciiTheme="minorHAnsi" w:hAnsiTheme="minorHAnsi" w:cstheme="minorHAnsi"/>
          <w:sz w:val="24"/>
          <w:szCs w:val="24"/>
        </w:rPr>
        <w:t xml:space="preserve">Appendix D.2: </w:t>
      </w:r>
      <w:r w:rsidRPr="0041791D">
        <w:rPr>
          <w:rFonts w:asciiTheme="minorHAnsi" w:eastAsia="Calibri" w:hAnsiTheme="minorHAnsi" w:cstheme="minorHAnsi"/>
          <w:b w:val="0"/>
          <w:bCs/>
          <w:color w:val="23487B"/>
          <w:sz w:val="24"/>
          <w:szCs w:val="24"/>
        </w:rPr>
        <w:t>Subcommittee Reports: Landfill Size/Capacity/Longevity</w:t>
      </w:r>
      <w:bookmarkEnd w:id="0"/>
    </w:p>
    <w:p w14:paraId="05EAA4DF" w14:textId="77777777" w:rsidR="006F646F" w:rsidRPr="0041791D" w:rsidRDefault="006F646F" w:rsidP="006F646F">
      <w:pPr>
        <w:shd w:val="clear" w:color="auto" w:fill="23487B"/>
        <w:tabs>
          <w:tab w:val="center" w:pos="4680"/>
          <w:tab w:val="right" w:pos="9360"/>
        </w:tabs>
        <w:spacing w:after="0" w:line="240" w:lineRule="auto"/>
        <w:rPr>
          <w:rFonts w:eastAsia="Calibri" w:cstheme="minorHAnsi"/>
          <w:b/>
          <w:bCs/>
          <w:color w:val="FFFFFF"/>
          <w:sz w:val="24"/>
          <w:szCs w:val="24"/>
        </w:rPr>
      </w:pPr>
      <w:r w:rsidRPr="0041791D">
        <w:rPr>
          <w:rFonts w:eastAsia="Calibri" w:cstheme="minorHAnsi"/>
          <w:sz w:val="24"/>
          <w:szCs w:val="24"/>
        </w:rPr>
        <w:t> </w:t>
      </w:r>
      <w:r w:rsidRPr="0041791D">
        <w:rPr>
          <w:rFonts w:eastAsia="Calibri" w:cstheme="minorHAnsi"/>
          <w:b/>
          <w:noProof/>
          <w:color w:val="FFFFFF"/>
          <w:sz w:val="24"/>
          <w:szCs w:val="24"/>
        </w:rPr>
        <w:drawing>
          <wp:inline distT="0" distB="0" distL="0" distR="0" wp14:anchorId="0DE3576C" wp14:editId="659D9190">
            <wp:extent cx="2409246" cy="1277242"/>
            <wp:effectExtent l="0" t="0" r="0" b="0"/>
            <wp:docPr id="32" name="Picture 3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company nam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409246" cy="1277242"/>
                    </a:xfrm>
                    <a:prstGeom prst="rect">
                      <a:avLst/>
                    </a:prstGeom>
                  </pic:spPr>
                </pic:pic>
              </a:graphicData>
            </a:graphic>
          </wp:inline>
        </w:drawing>
      </w:r>
    </w:p>
    <w:p w14:paraId="15C3A321" w14:textId="77777777" w:rsidR="006F646F" w:rsidRPr="0041791D" w:rsidRDefault="006F646F" w:rsidP="006F646F">
      <w:pPr>
        <w:shd w:val="clear" w:color="auto" w:fill="23487B"/>
        <w:tabs>
          <w:tab w:val="center" w:pos="4680"/>
          <w:tab w:val="right" w:pos="9360"/>
        </w:tabs>
        <w:spacing w:after="0" w:line="240" w:lineRule="auto"/>
        <w:jc w:val="center"/>
        <w:rPr>
          <w:rFonts w:eastAsia="Calibri" w:cstheme="minorHAnsi"/>
          <w:b/>
          <w:bCs/>
          <w:color w:val="FFFFFF"/>
          <w:sz w:val="24"/>
          <w:szCs w:val="24"/>
        </w:rPr>
      </w:pPr>
      <w:r w:rsidRPr="0041791D">
        <w:rPr>
          <w:rFonts w:eastAsia="Calibri" w:cstheme="minorHAnsi"/>
          <w:b/>
          <w:bCs/>
          <w:color w:val="FFFFFF"/>
          <w:sz w:val="24"/>
          <w:szCs w:val="24"/>
        </w:rPr>
        <w:t>Landfill Size/Capacity/Longevity</w:t>
      </w:r>
    </w:p>
    <w:p w14:paraId="0D55F199" w14:textId="77777777" w:rsidR="006F646F" w:rsidRPr="0041791D" w:rsidRDefault="006F646F" w:rsidP="006F646F">
      <w:pPr>
        <w:tabs>
          <w:tab w:val="center" w:pos="4680"/>
          <w:tab w:val="right" w:pos="9360"/>
        </w:tabs>
        <w:spacing w:after="0" w:line="240" w:lineRule="auto"/>
        <w:jc w:val="center"/>
        <w:rPr>
          <w:rFonts w:eastAsia="Calibri" w:cstheme="minorHAnsi"/>
          <w:b/>
          <w:bCs/>
          <w:color w:val="0070C0"/>
          <w:sz w:val="24"/>
          <w:szCs w:val="24"/>
        </w:rPr>
      </w:pPr>
      <w:r w:rsidRPr="0041791D">
        <w:rPr>
          <w:rFonts w:eastAsia="Calibri" w:cstheme="minorHAnsi"/>
          <w:b/>
          <w:bCs/>
          <w:color w:val="0070C0"/>
          <w:sz w:val="24"/>
          <w:szCs w:val="24"/>
        </w:rPr>
        <w:t xml:space="preserve"> </w:t>
      </w:r>
      <w:r w:rsidRPr="0041791D">
        <w:rPr>
          <w:rFonts w:eastAsia="Calibri" w:cstheme="minorHAnsi"/>
          <w:b/>
          <w:bCs/>
          <w:color w:val="000000"/>
          <w:sz w:val="24"/>
          <w:szCs w:val="24"/>
        </w:rPr>
        <w:t xml:space="preserve">A.1. Subcommittee </w:t>
      </w:r>
    </w:p>
    <w:p w14:paraId="35222E6F" w14:textId="7C8A76FF" w:rsidR="006F646F" w:rsidRPr="0041791D" w:rsidRDefault="006F646F" w:rsidP="006F646F">
      <w:pPr>
        <w:shd w:val="clear" w:color="auto" w:fill="58595B"/>
        <w:spacing w:after="0" w:line="240" w:lineRule="auto"/>
        <w:rPr>
          <w:rFonts w:eastAsia="Calibri" w:cstheme="minorHAnsi"/>
          <w:b/>
          <w:color w:val="FFFFFF"/>
          <w:sz w:val="24"/>
          <w:szCs w:val="24"/>
        </w:rPr>
      </w:pPr>
      <w:r w:rsidRPr="0041791D">
        <w:rPr>
          <w:rFonts w:eastAsia="Calibri" w:cstheme="minorHAnsi"/>
          <w:b/>
          <w:color w:val="FFFFFF"/>
          <w:sz w:val="24"/>
          <w:szCs w:val="24"/>
        </w:rPr>
        <w:t xml:space="preserve">Draft </w:t>
      </w:r>
      <w:r>
        <w:rPr>
          <w:rFonts w:eastAsia="Calibri" w:cstheme="minorHAnsi"/>
          <w:b/>
          <w:color w:val="FFFFFF"/>
          <w:sz w:val="24"/>
          <w:szCs w:val="24"/>
        </w:rPr>
        <w:t>3</w:t>
      </w:r>
      <w:r w:rsidRPr="0041791D">
        <w:rPr>
          <w:rFonts w:eastAsia="Calibri" w:cstheme="minorHAnsi"/>
          <w:b/>
          <w:color w:val="FFFFFF"/>
          <w:sz w:val="24"/>
          <w:szCs w:val="24"/>
        </w:rPr>
        <w:t>/</w:t>
      </w:r>
      <w:r>
        <w:rPr>
          <w:rFonts w:eastAsia="Calibri" w:cstheme="minorHAnsi"/>
          <w:b/>
          <w:color w:val="FFFFFF"/>
          <w:sz w:val="24"/>
          <w:szCs w:val="24"/>
        </w:rPr>
        <w:t>1</w:t>
      </w:r>
      <w:r w:rsidR="00734E50">
        <w:rPr>
          <w:rFonts w:eastAsia="Calibri" w:cstheme="minorHAnsi"/>
          <w:b/>
          <w:color w:val="FFFFFF"/>
          <w:sz w:val="24"/>
          <w:szCs w:val="24"/>
        </w:rPr>
        <w:t>3</w:t>
      </w:r>
      <w:r w:rsidRPr="0041791D">
        <w:rPr>
          <w:rFonts w:eastAsia="Calibri" w:cstheme="minorHAnsi"/>
          <w:b/>
          <w:color w:val="FFFFFF"/>
          <w:sz w:val="24"/>
          <w:szCs w:val="24"/>
        </w:rPr>
        <w:t>/23</w:t>
      </w:r>
    </w:p>
    <w:p w14:paraId="7B5C2679" w14:textId="77777777" w:rsidR="006F646F" w:rsidRPr="0041791D" w:rsidRDefault="006F646F" w:rsidP="006F646F">
      <w:pPr>
        <w:rPr>
          <w:rFonts w:eastAsia="Calibri" w:cstheme="minorHAnsi"/>
          <w:sz w:val="24"/>
          <w:szCs w:val="24"/>
        </w:rPr>
      </w:pPr>
    </w:p>
    <w:p w14:paraId="193CDB1B"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4EAE6B0E"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144DE689"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r w:rsidRPr="0041791D">
        <w:rPr>
          <w:rFonts w:eastAsia="Calibri" w:cstheme="minorHAnsi"/>
          <w:color w:val="0070C0"/>
          <w:sz w:val="24"/>
          <w:szCs w:val="24"/>
        </w:rPr>
        <w:fldChar w:fldCharType="begin"/>
      </w:r>
      <w:r w:rsidRPr="0041791D">
        <w:rPr>
          <w:rFonts w:eastAsia="Calibri" w:cstheme="minorHAnsi"/>
          <w:color w:val="0070C0"/>
          <w:sz w:val="24"/>
          <w:szCs w:val="24"/>
        </w:rPr>
        <w:instrText xml:space="preserve"> TC  "Appendix D.2: Subcommittee Reports: Landfill Size/Capacity/Longevity" \f </w:instrText>
      </w:r>
      <w:r w:rsidRPr="0041791D">
        <w:rPr>
          <w:rFonts w:eastAsia="Calibri" w:cstheme="minorHAnsi"/>
          <w:color w:val="0070C0"/>
          <w:sz w:val="24"/>
          <w:szCs w:val="24"/>
        </w:rPr>
        <w:fldChar w:fldCharType="end"/>
      </w:r>
      <w:r w:rsidRPr="0041791D">
        <w:rPr>
          <w:rFonts w:eastAsia="Calibri" w:cstheme="minorHAnsi"/>
          <w:color w:val="0070C0"/>
          <w:sz w:val="24"/>
          <w:szCs w:val="24"/>
        </w:rPr>
        <w:fldChar w:fldCharType="begin"/>
      </w:r>
      <w:r w:rsidRPr="0041791D">
        <w:rPr>
          <w:rFonts w:eastAsia="Calibri" w:cstheme="minorHAnsi"/>
          <w:color w:val="0070C0"/>
          <w:sz w:val="24"/>
          <w:szCs w:val="24"/>
        </w:rPr>
        <w:instrText xml:space="preserve"> TC  </w:instrText>
      </w:r>
      <w:r w:rsidRPr="0041791D">
        <w:rPr>
          <w:rFonts w:eastAsia="Calibri" w:cstheme="minorHAnsi"/>
          <w:color w:val="0070C0"/>
          <w:sz w:val="24"/>
          <w:szCs w:val="24"/>
        </w:rPr>
        <w:fldChar w:fldCharType="end"/>
      </w:r>
      <w:r w:rsidRPr="0041791D">
        <w:rPr>
          <w:rFonts w:eastAsia="Calibri" w:cstheme="minorHAnsi"/>
          <w:color w:val="0070C0"/>
          <w:sz w:val="24"/>
          <w:szCs w:val="24"/>
        </w:rPr>
        <w:fldChar w:fldCharType="begin"/>
      </w:r>
      <w:r w:rsidRPr="0041791D">
        <w:rPr>
          <w:rFonts w:eastAsia="Calibri" w:cstheme="minorHAnsi"/>
          <w:color w:val="0070C0"/>
          <w:sz w:val="24"/>
          <w:szCs w:val="24"/>
        </w:rPr>
        <w:instrText xml:space="preserve"> TC  "Appendix D.2: Subcommittee Reports: Landfill Size/Capacity/Longevity" \f </w:instrText>
      </w:r>
      <w:r w:rsidRPr="0041791D">
        <w:rPr>
          <w:rFonts w:eastAsia="Calibri" w:cstheme="minorHAnsi"/>
          <w:color w:val="0070C0"/>
          <w:sz w:val="24"/>
          <w:szCs w:val="24"/>
        </w:rPr>
        <w:fldChar w:fldCharType="end"/>
      </w:r>
      <w:r w:rsidRPr="0041791D">
        <w:rPr>
          <w:rFonts w:eastAsia="Calibri" w:cstheme="minorHAnsi"/>
          <w:color w:val="0070C0"/>
          <w:sz w:val="24"/>
          <w:szCs w:val="24"/>
        </w:rPr>
        <w:fldChar w:fldCharType="begin"/>
      </w:r>
      <w:r w:rsidRPr="0041791D">
        <w:rPr>
          <w:rFonts w:eastAsia="Calibri" w:cstheme="minorHAnsi"/>
          <w:color w:val="0070C0"/>
          <w:sz w:val="24"/>
          <w:szCs w:val="24"/>
        </w:rPr>
        <w:instrText xml:space="preserve"> TC  \f </w:instrText>
      </w:r>
      <w:r w:rsidRPr="0041791D">
        <w:rPr>
          <w:rFonts w:eastAsia="Calibri" w:cstheme="minorHAnsi"/>
          <w:color w:val="0070C0"/>
          <w:sz w:val="24"/>
          <w:szCs w:val="24"/>
        </w:rPr>
        <w:fldChar w:fldCharType="end"/>
      </w:r>
      <w:r w:rsidRPr="0041791D">
        <w:rPr>
          <w:rFonts w:eastAsia="Calibri" w:cstheme="minorHAnsi"/>
          <w:color w:val="0070C0"/>
          <w:sz w:val="24"/>
          <w:szCs w:val="24"/>
        </w:rPr>
        <w:fldChar w:fldCharType="begin"/>
      </w:r>
      <w:r w:rsidRPr="0041791D">
        <w:rPr>
          <w:rFonts w:eastAsia="Calibri" w:cstheme="minorHAnsi"/>
          <w:color w:val="0070C0"/>
          <w:sz w:val="24"/>
          <w:szCs w:val="24"/>
        </w:rPr>
        <w:instrText xml:space="preserve"> TC  "Appendix C.2: Subcommittee Reports: Landfill Size/Capacity/Longevity" \f </w:instrText>
      </w:r>
      <w:r w:rsidRPr="0041791D">
        <w:rPr>
          <w:rFonts w:eastAsia="Calibri" w:cstheme="minorHAnsi"/>
          <w:color w:val="0070C0"/>
          <w:sz w:val="24"/>
          <w:szCs w:val="24"/>
        </w:rPr>
        <w:fldChar w:fldCharType="end"/>
      </w:r>
    </w:p>
    <w:p w14:paraId="0B91BF35"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716118E3"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3504A4FE"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0E3A66BD"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7184188E"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73AEECC1"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18BD9AFB"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3CEF5431"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447DC0CE"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275A72FB"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53F9E059"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34209604" w14:textId="77777777" w:rsidR="006F646F" w:rsidRPr="0041791D" w:rsidRDefault="006F646F" w:rsidP="006F646F">
      <w:pPr>
        <w:tabs>
          <w:tab w:val="left" w:pos="720"/>
          <w:tab w:val="right" w:leader="dot" w:pos="9350"/>
        </w:tabs>
        <w:spacing w:after="100" w:line="240" w:lineRule="auto"/>
        <w:ind w:left="360" w:hanging="270"/>
        <w:rPr>
          <w:rFonts w:eastAsia="Calibri" w:cstheme="minorHAnsi"/>
          <w:color w:val="0070C0"/>
          <w:sz w:val="24"/>
          <w:szCs w:val="24"/>
        </w:rPr>
      </w:pPr>
    </w:p>
    <w:p w14:paraId="6127EF91" w14:textId="77777777" w:rsidR="006F646F" w:rsidRPr="0041791D" w:rsidRDefault="006F646F" w:rsidP="006F646F">
      <w:pPr>
        <w:tabs>
          <w:tab w:val="left" w:pos="720"/>
          <w:tab w:val="right" w:leader="dot" w:pos="9350"/>
        </w:tabs>
        <w:spacing w:after="100" w:line="240" w:lineRule="auto"/>
        <w:ind w:left="360" w:hanging="270"/>
        <w:rPr>
          <w:rFonts w:eastAsia="MS Mincho" w:cstheme="minorHAnsi"/>
          <w:noProof/>
          <w:color w:val="0070C0"/>
          <w:sz w:val="24"/>
          <w:szCs w:val="24"/>
        </w:rPr>
      </w:pPr>
      <w:r w:rsidRPr="0041791D">
        <w:rPr>
          <w:rFonts w:eastAsia="Calibri" w:cstheme="minorHAnsi"/>
          <w:color w:val="0070C0"/>
          <w:sz w:val="24"/>
          <w:szCs w:val="24"/>
        </w:rPr>
        <w:fldChar w:fldCharType="begin"/>
      </w:r>
      <w:r w:rsidRPr="0041791D">
        <w:rPr>
          <w:rFonts w:eastAsia="Calibri" w:cstheme="minorHAnsi"/>
          <w:color w:val="0070C0"/>
          <w:sz w:val="24"/>
          <w:szCs w:val="24"/>
        </w:rPr>
        <w:instrText xml:space="preserve"> TOC \o "1-3" \h \z \t "BCTT Heading 1,1,BCTT Heading 2,2" </w:instrText>
      </w:r>
      <w:r w:rsidRPr="0041791D">
        <w:rPr>
          <w:rFonts w:eastAsia="Calibri" w:cstheme="minorHAnsi"/>
          <w:color w:val="0070C0"/>
          <w:sz w:val="24"/>
          <w:szCs w:val="24"/>
        </w:rPr>
        <w:fldChar w:fldCharType="separate"/>
      </w:r>
    </w:p>
    <w:p w14:paraId="541E7EE4" w14:textId="77777777" w:rsidR="006F646F" w:rsidRDefault="006F646F" w:rsidP="006F646F">
      <w:pPr>
        <w:rPr>
          <w:rFonts w:eastAsia="Calibri" w:cstheme="minorHAnsi"/>
          <w:sz w:val="24"/>
          <w:szCs w:val="24"/>
        </w:rPr>
      </w:pPr>
      <w:r w:rsidRPr="0041791D">
        <w:rPr>
          <w:rFonts w:eastAsia="Calibri" w:cstheme="minorHAnsi"/>
          <w:sz w:val="24"/>
          <w:szCs w:val="24"/>
        </w:rPr>
        <w:fldChar w:fldCharType="end"/>
      </w:r>
      <w:r>
        <w:rPr>
          <w:rFonts w:eastAsia="Calibri" w:cstheme="minorHAnsi"/>
          <w:sz w:val="24"/>
          <w:szCs w:val="24"/>
        </w:rPr>
        <w:br w:type="page"/>
      </w:r>
    </w:p>
    <w:p w14:paraId="30F6DC47" w14:textId="77777777" w:rsidR="006F646F" w:rsidRPr="0041791D" w:rsidRDefault="006F646F" w:rsidP="006F646F">
      <w:pPr>
        <w:rPr>
          <w:rFonts w:eastAsia="Times New Roman" w:cstheme="minorHAnsi"/>
          <w:color w:val="2E74B5"/>
          <w:sz w:val="24"/>
          <w:szCs w:val="24"/>
        </w:rPr>
      </w:pPr>
    </w:p>
    <w:sdt>
      <w:sdtPr>
        <w:rPr>
          <w:rFonts w:ascii="Palatino Linotype" w:eastAsiaTheme="minorHAnsi" w:hAnsi="Palatino Linotype" w:cstheme="minorBidi"/>
          <w:color w:val="auto"/>
          <w:sz w:val="22"/>
          <w:szCs w:val="20"/>
        </w:rPr>
        <w:id w:val="-1178189719"/>
        <w:docPartObj>
          <w:docPartGallery w:val="Table of Contents"/>
          <w:docPartUnique/>
        </w:docPartObj>
      </w:sdtPr>
      <w:sdtEndPr>
        <w:rPr>
          <w:rFonts w:asciiTheme="minorHAnsi" w:hAnsiTheme="minorHAnsi"/>
          <w:b/>
          <w:bCs/>
          <w:noProof/>
          <w:szCs w:val="22"/>
        </w:rPr>
      </w:sdtEndPr>
      <w:sdtContent>
        <w:p w14:paraId="096D5568" w14:textId="77777777" w:rsidR="006F646F" w:rsidRDefault="006F646F" w:rsidP="006F646F">
          <w:pPr>
            <w:pStyle w:val="TOCHeading"/>
          </w:pPr>
          <w:r>
            <w:t>Table of Contents</w:t>
          </w:r>
        </w:p>
        <w:p w14:paraId="42722071" w14:textId="77777777" w:rsidR="006F646F" w:rsidRDefault="006F646F" w:rsidP="006F646F">
          <w:pPr>
            <w:pStyle w:val="TOC1"/>
            <w:rPr>
              <w:rFonts w:asciiTheme="minorHAnsi" w:eastAsiaTheme="minorEastAsia" w:hAnsiTheme="minorHAnsi"/>
              <w:b/>
              <w:bCs/>
              <w:noProof/>
              <w:color w:val="auto"/>
              <w:sz w:val="22"/>
              <w:szCs w:val="22"/>
            </w:rPr>
          </w:pPr>
          <w:r>
            <w:rPr>
              <w:rFonts w:cstheme="minorHAnsi"/>
            </w:rPr>
            <w:fldChar w:fldCharType="begin"/>
          </w:r>
          <w:r>
            <w:instrText xml:space="preserve"> TOC \o "1-3" \h \z \u </w:instrText>
          </w:r>
          <w:r>
            <w:rPr>
              <w:rFonts w:cstheme="minorHAnsi"/>
            </w:rPr>
            <w:fldChar w:fldCharType="separate"/>
          </w:r>
        </w:p>
        <w:p w14:paraId="2F536897" w14:textId="77777777" w:rsidR="006F646F" w:rsidRDefault="00415FF3" w:rsidP="006F646F">
          <w:pPr>
            <w:pStyle w:val="TOC1"/>
            <w:rPr>
              <w:rFonts w:asciiTheme="minorHAnsi" w:eastAsiaTheme="minorEastAsia" w:hAnsiTheme="minorHAnsi" w:cstheme="minorBidi"/>
              <w:noProof/>
              <w:color w:val="auto"/>
              <w:sz w:val="22"/>
              <w:szCs w:val="22"/>
            </w:rPr>
          </w:pPr>
          <w:hyperlink w:anchor="_Toc129256690" w:history="1">
            <w:r w:rsidR="006F646F" w:rsidRPr="00CC52AE">
              <w:rPr>
                <w:rStyle w:val="Hyperlink"/>
                <w:rFonts w:eastAsia="Times New Roman"/>
                <w:noProof/>
              </w:rPr>
              <w:t>1</w:t>
            </w:r>
            <w:r w:rsidR="006F646F">
              <w:rPr>
                <w:rFonts w:asciiTheme="minorHAnsi" w:eastAsiaTheme="minorEastAsia" w:hAnsiTheme="minorHAnsi" w:cstheme="minorBidi"/>
                <w:noProof/>
                <w:color w:val="auto"/>
                <w:sz w:val="22"/>
                <w:szCs w:val="22"/>
              </w:rPr>
              <w:tab/>
            </w:r>
            <w:r w:rsidR="006F646F" w:rsidRPr="00CC52AE">
              <w:rPr>
                <w:rStyle w:val="Hyperlink"/>
                <w:rFonts w:eastAsia="Times New Roman"/>
                <w:noProof/>
              </w:rPr>
              <w:t>Section 0: Background</w:t>
            </w:r>
            <w:r w:rsidR="006F646F">
              <w:rPr>
                <w:noProof/>
                <w:webHidden/>
              </w:rPr>
              <w:tab/>
            </w:r>
            <w:r w:rsidR="006F646F">
              <w:rPr>
                <w:noProof/>
                <w:webHidden/>
              </w:rPr>
              <w:fldChar w:fldCharType="begin"/>
            </w:r>
            <w:r w:rsidR="006F646F">
              <w:rPr>
                <w:noProof/>
                <w:webHidden/>
              </w:rPr>
              <w:instrText xml:space="preserve"> PAGEREF _Toc129256690 \h </w:instrText>
            </w:r>
            <w:r w:rsidR="006F646F">
              <w:rPr>
                <w:noProof/>
                <w:webHidden/>
              </w:rPr>
            </w:r>
            <w:r w:rsidR="006F646F">
              <w:rPr>
                <w:noProof/>
                <w:webHidden/>
              </w:rPr>
              <w:fldChar w:fldCharType="separate"/>
            </w:r>
            <w:r w:rsidR="006F646F">
              <w:rPr>
                <w:noProof/>
                <w:webHidden/>
              </w:rPr>
              <w:t>149</w:t>
            </w:r>
            <w:r w:rsidR="006F646F">
              <w:rPr>
                <w:noProof/>
                <w:webHidden/>
              </w:rPr>
              <w:fldChar w:fldCharType="end"/>
            </w:r>
          </w:hyperlink>
        </w:p>
        <w:p w14:paraId="2DE04505"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691" w:history="1">
            <w:r w:rsidR="006F646F" w:rsidRPr="00CC52AE">
              <w:rPr>
                <w:rStyle w:val="Hyperlink"/>
                <w:rFonts w:eastAsia="Times New Roman" w:cstheme="minorHAnsi"/>
                <w:noProof/>
              </w:rPr>
              <w:t>I.</w:t>
            </w:r>
            <w:r w:rsidR="006F646F">
              <w:rPr>
                <w:rFonts w:asciiTheme="minorHAnsi" w:eastAsiaTheme="minorEastAsia" w:hAnsiTheme="minorHAnsi"/>
                <w:b w:val="0"/>
                <w:bCs w:val="0"/>
                <w:noProof/>
                <w:color w:val="auto"/>
                <w:sz w:val="22"/>
                <w:szCs w:val="22"/>
              </w:rPr>
              <w:tab/>
            </w:r>
            <w:r w:rsidR="006F646F" w:rsidRPr="00CC52AE">
              <w:rPr>
                <w:rStyle w:val="Hyperlink"/>
                <w:rFonts w:eastAsia="Times New Roman" w:cstheme="minorHAnsi"/>
                <w:noProof/>
              </w:rPr>
              <w:t>Charge</w:t>
            </w:r>
            <w:r w:rsidR="006F646F">
              <w:rPr>
                <w:noProof/>
                <w:webHidden/>
              </w:rPr>
              <w:tab/>
            </w:r>
            <w:r w:rsidR="006F646F">
              <w:rPr>
                <w:noProof/>
                <w:webHidden/>
              </w:rPr>
              <w:fldChar w:fldCharType="begin"/>
            </w:r>
            <w:r w:rsidR="006F646F">
              <w:rPr>
                <w:noProof/>
                <w:webHidden/>
              </w:rPr>
              <w:instrText xml:space="preserve"> PAGEREF _Toc129256691 \h </w:instrText>
            </w:r>
            <w:r w:rsidR="006F646F">
              <w:rPr>
                <w:noProof/>
                <w:webHidden/>
              </w:rPr>
            </w:r>
            <w:r w:rsidR="006F646F">
              <w:rPr>
                <w:noProof/>
                <w:webHidden/>
              </w:rPr>
              <w:fldChar w:fldCharType="separate"/>
            </w:r>
            <w:r w:rsidR="006F646F">
              <w:rPr>
                <w:noProof/>
                <w:webHidden/>
              </w:rPr>
              <w:t>149</w:t>
            </w:r>
            <w:r w:rsidR="006F646F">
              <w:rPr>
                <w:noProof/>
                <w:webHidden/>
              </w:rPr>
              <w:fldChar w:fldCharType="end"/>
            </w:r>
          </w:hyperlink>
        </w:p>
        <w:p w14:paraId="0FC49454" w14:textId="77777777" w:rsidR="006F646F" w:rsidRDefault="00415FF3" w:rsidP="006F646F">
          <w:pPr>
            <w:pStyle w:val="TOC3"/>
            <w:rPr>
              <w:rFonts w:asciiTheme="minorHAnsi" w:eastAsiaTheme="minorEastAsia" w:hAnsiTheme="minorHAnsi"/>
              <w:noProof/>
              <w:szCs w:val="22"/>
            </w:rPr>
          </w:pPr>
          <w:hyperlink w:anchor="_Toc129256692" w:history="1">
            <w:r w:rsidR="006F646F" w:rsidRPr="00CC52AE">
              <w:rPr>
                <w:rStyle w:val="Hyperlink"/>
                <w:rFonts w:eastAsia="Times New Roman" w:cstheme="minorHAnsi"/>
                <w:b/>
                <w:bCs/>
                <w:noProof/>
              </w:rPr>
              <w:t>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Workgroup charter and bylaws 8-23-2022</w:t>
            </w:r>
            <w:r w:rsidR="006F646F">
              <w:rPr>
                <w:noProof/>
                <w:webHidden/>
              </w:rPr>
              <w:tab/>
            </w:r>
            <w:r w:rsidR="006F646F">
              <w:rPr>
                <w:noProof/>
                <w:webHidden/>
              </w:rPr>
              <w:fldChar w:fldCharType="begin"/>
            </w:r>
            <w:r w:rsidR="006F646F">
              <w:rPr>
                <w:noProof/>
                <w:webHidden/>
              </w:rPr>
              <w:instrText xml:space="preserve"> PAGEREF _Toc129256692 \h </w:instrText>
            </w:r>
            <w:r w:rsidR="006F646F">
              <w:rPr>
                <w:noProof/>
                <w:webHidden/>
              </w:rPr>
            </w:r>
            <w:r w:rsidR="006F646F">
              <w:rPr>
                <w:noProof/>
                <w:webHidden/>
              </w:rPr>
              <w:fldChar w:fldCharType="separate"/>
            </w:r>
            <w:r w:rsidR="006F646F">
              <w:rPr>
                <w:noProof/>
                <w:webHidden/>
              </w:rPr>
              <w:t>149</w:t>
            </w:r>
            <w:r w:rsidR="006F646F">
              <w:rPr>
                <w:noProof/>
                <w:webHidden/>
              </w:rPr>
              <w:fldChar w:fldCharType="end"/>
            </w:r>
          </w:hyperlink>
        </w:p>
        <w:p w14:paraId="037B273F" w14:textId="77777777" w:rsidR="006F646F" w:rsidRDefault="00415FF3" w:rsidP="006F646F">
          <w:pPr>
            <w:pStyle w:val="TOC3"/>
            <w:rPr>
              <w:rFonts w:asciiTheme="minorHAnsi" w:eastAsiaTheme="minorEastAsia" w:hAnsiTheme="minorHAnsi"/>
              <w:noProof/>
              <w:szCs w:val="22"/>
            </w:rPr>
          </w:pPr>
          <w:hyperlink w:anchor="_Toc129256693" w:history="1">
            <w:r w:rsidR="006F646F" w:rsidRPr="00CC52AE">
              <w:rPr>
                <w:rStyle w:val="Hyperlink"/>
                <w:rFonts w:eastAsia="Times New Roman" w:cstheme="minorHAnsi"/>
                <w:b/>
                <w:bCs/>
                <w:noProof/>
              </w:rPr>
              <w:t>Subcommittee A.1 charge</w:t>
            </w:r>
            <w:r w:rsidR="006F646F">
              <w:rPr>
                <w:noProof/>
                <w:webHidden/>
              </w:rPr>
              <w:tab/>
            </w:r>
            <w:r w:rsidR="006F646F">
              <w:rPr>
                <w:noProof/>
                <w:webHidden/>
              </w:rPr>
              <w:fldChar w:fldCharType="begin"/>
            </w:r>
            <w:r w:rsidR="006F646F">
              <w:rPr>
                <w:noProof/>
                <w:webHidden/>
              </w:rPr>
              <w:instrText xml:space="preserve"> PAGEREF _Toc129256693 \h </w:instrText>
            </w:r>
            <w:r w:rsidR="006F646F">
              <w:rPr>
                <w:noProof/>
                <w:webHidden/>
              </w:rPr>
            </w:r>
            <w:r w:rsidR="006F646F">
              <w:rPr>
                <w:noProof/>
                <w:webHidden/>
              </w:rPr>
              <w:fldChar w:fldCharType="separate"/>
            </w:r>
            <w:r w:rsidR="006F646F">
              <w:rPr>
                <w:noProof/>
                <w:webHidden/>
              </w:rPr>
              <w:t>149</w:t>
            </w:r>
            <w:r w:rsidR="006F646F">
              <w:rPr>
                <w:noProof/>
                <w:webHidden/>
              </w:rPr>
              <w:fldChar w:fldCharType="end"/>
            </w:r>
          </w:hyperlink>
        </w:p>
        <w:p w14:paraId="269D4F5D" w14:textId="77777777" w:rsidR="006F646F" w:rsidRDefault="00415FF3" w:rsidP="006F646F">
          <w:pPr>
            <w:pStyle w:val="TOC3"/>
            <w:rPr>
              <w:rFonts w:asciiTheme="minorHAnsi" w:eastAsiaTheme="minorEastAsia" w:hAnsiTheme="minorHAnsi"/>
              <w:noProof/>
              <w:szCs w:val="22"/>
            </w:rPr>
          </w:pPr>
          <w:hyperlink w:anchor="_Toc129256694" w:history="1">
            <w:r w:rsidR="006F646F" w:rsidRPr="00CC52AE">
              <w:rPr>
                <w:rStyle w:val="Hyperlink"/>
                <w:rFonts w:eastAsia="Times New Roman" w:cstheme="minorHAnsi"/>
                <w:b/>
                <w:bCs/>
                <w:noProof/>
              </w:rPr>
              <w:t xml:space="preserve">Common Terms and </w:t>
            </w:r>
            <w:r w:rsidR="006F646F" w:rsidRPr="00CC52AE">
              <w:rPr>
                <w:rStyle w:val="Hyperlink"/>
                <w:rFonts w:eastAsia="Calibri" w:cstheme="minorHAnsi"/>
                <w:b/>
                <w:noProof/>
              </w:rPr>
              <w:t>Definitions</w:t>
            </w:r>
            <w:r w:rsidR="006F646F">
              <w:rPr>
                <w:noProof/>
                <w:webHidden/>
              </w:rPr>
              <w:tab/>
            </w:r>
            <w:r w:rsidR="006F646F">
              <w:rPr>
                <w:noProof/>
                <w:webHidden/>
              </w:rPr>
              <w:fldChar w:fldCharType="begin"/>
            </w:r>
            <w:r w:rsidR="006F646F">
              <w:rPr>
                <w:noProof/>
                <w:webHidden/>
              </w:rPr>
              <w:instrText xml:space="preserve"> PAGEREF _Toc129256694 \h </w:instrText>
            </w:r>
            <w:r w:rsidR="006F646F">
              <w:rPr>
                <w:noProof/>
                <w:webHidden/>
              </w:rPr>
            </w:r>
            <w:r w:rsidR="006F646F">
              <w:rPr>
                <w:noProof/>
                <w:webHidden/>
              </w:rPr>
              <w:fldChar w:fldCharType="separate"/>
            </w:r>
            <w:r w:rsidR="006F646F">
              <w:rPr>
                <w:noProof/>
                <w:webHidden/>
              </w:rPr>
              <w:t>150</w:t>
            </w:r>
            <w:r w:rsidR="006F646F">
              <w:rPr>
                <w:noProof/>
                <w:webHidden/>
              </w:rPr>
              <w:fldChar w:fldCharType="end"/>
            </w:r>
          </w:hyperlink>
        </w:p>
        <w:p w14:paraId="7BFA7474"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695" w:history="1">
            <w:r w:rsidR="006F646F" w:rsidRPr="00CC52AE">
              <w:rPr>
                <w:rStyle w:val="Hyperlink"/>
                <w:rFonts w:eastAsia="Times New Roman" w:cstheme="minorHAnsi"/>
                <w:noProof/>
              </w:rPr>
              <w:t>J.</w:t>
            </w:r>
            <w:r w:rsidR="006F646F">
              <w:rPr>
                <w:rFonts w:asciiTheme="minorHAnsi" w:eastAsiaTheme="minorEastAsia" w:hAnsiTheme="minorHAnsi"/>
                <w:b w:val="0"/>
                <w:bCs w:val="0"/>
                <w:noProof/>
                <w:color w:val="auto"/>
                <w:sz w:val="22"/>
                <w:szCs w:val="22"/>
              </w:rPr>
              <w:tab/>
            </w:r>
            <w:r w:rsidR="006F646F" w:rsidRPr="00CC52AE">
              <w:rPr>
                <w:rStyle w:val="Hyperlink"/>
                <w:rFonts w:eastAsia="Times New Roman" w:cstheme="minorHAnsi"/>
                <w:noProof/>
              </w:rPr>
              <w:t>Membership Composition</w:t>
            </w:r>
            <w:r w:rsidR="006F646F">
              <w:rPr>
                <w:noProof/>
                <w:webHidden/>
              </w:rPr>
              <w:tab/>
            </w:r>
            <w:r w:rsidR="006F646F">
              <w:rPr>
                <w:noProof/>
                <w:webHidden/>
              </w:rPr>
              <w:fldChar w:fldCharType="begin"/>
            </w:r>
            <w:r w:rsidR="006F646F">
              <w:rPr>
                <w:noProof/>
                <w:webHidden/>
              </w:rPr>
              <w:instrText xml:space="preserve"> PAGEREF _Toc129256695 \h </w:instrText>
            </w:r>
            <w:r w:rsidR="006F646F">
              <w:rPr>
                <w:noProof/>
                <w:webHidden/>
              </w:rPr>
            </w:r>
            <w:r w:rsidR="006F646F">
              <w:rPr>
                <w:noProof/>
                <w:webHidden/>
              </w:rPr>
              <w:fldChar w:fldCharType="separate"/>
            </w:r>
            <w:r w:rsidR="006F646F">
              <w:rPr>
                <w:noProof/>
                <w:webHidden/>
              </w:rPr>
              <w:t>157</w:t>
            </w:r>
            <w:r w:rsidR="006F646F">
              <w:rPr>
                <w:noProof/>
                <w:webHidden/>
              </w:rPr>
              <w:fldChar w:fldCharType="end"/>
            </w:r>
          </w:hyperlink>
        </w:p>
        <w:p w14:paraId="525285E4"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696" w:history="1">
            <w:r w:rsidR="006F646F" w:rsidRPr="00CC52AE">
              <w:rPr>
                <w:rStyle w:val="Hyperlink"/>
                <w:rFonts w:eastAsia="Times New Roman" w:cstheme="minorHAnsi"/>
                <w:noProof/>
              </w:rPr>
              <w:t>K.</w:t>
            </w:r>
            <w:r w:rsidR="006F646F">
              <w:rPr>
                <w:rFonts w:asciiTheme="minorHAnsi" w:eastAsiaTheme="minorEastAsia" w:hAnsiTheme="minorHAnsi"/>
                <w:b w:val="0"/>
                <w:bCs w:val="0"/>
                <w:noProof/>
                <w:color w:val="auto"/>
                <w:sz w:val="22"/>
                <w:szCs w:val="22"/>
              </w:rPr>
              <w:tab/>
            </w:r>
            <w:r w:rsidR="006F646F" w:rsidRPr="00CC52AE">
              <w:rPr>
                <w:rStyle w:val="Hyperlink"/>
                <w:rFonts w:eastAsia="Times New Roman" w:cstheme="minorHAnsi"/>
                <w:noProof/>
              </w:rPr>
              <w:t>Document Organization</w:t>
            </w:r>
            <w:r w:rsidR="006F646F">
              <w:rPr>
                <w:noProof/>
                <w:webHidden/>
              </w:rPr>
              <w:tab/>
            </w:r>
            <w:r w:rsidR="006F646F">
              <w:rPr>
                <w:noProof/>
                <w:webHidden/>
              </w:rPr>
              <w:fldChar w:fldCharType="begin"/>
            </w:r>
            <w:r w:rsidR="006F646F">
              <w:rPr>
                <w:noProof/>
                <w:webHidden/>
              </w:rPr>
              <w:instrText xml:space="preserve"> PAGEREF _Toc129256696 \h </w:instrText>
            </w:r>
            <w:r w:rsidR="006F646F">
              <w:rPr>
                <w:noProof/>
                <w:webHidden/>
              </w:rPr>
            </w:r>
            <w:r w:rsidR="006F646F">
              <w:rPr>
                <w:noProof/>
                <w:webHidden/>
              </w:rPr>
              <w:fldChar w:fldCharType="separate"/>
            </w:r>
            <w:r w:rsidR="006F646F">
              <w:rPr>
                <w:noProof/>
                <w:webHidden/>
              </w:rPr>
              <w:t>158</w:t>
            </w:r>
            <w:r w:rsidR="006F646F">
              <w:rPr>
                <w:noProof/>
                <w:webHidden/>
              </w:rPr>
              <w:fldChar w:fldCharType="end"/>
            </w:r>
          </w:hyperlink>
        </w:p>
        <w:p w14:paraId="42E7707E" w14:textId="77777777" w:rsidR="006F646F" w:rsidRDefault="00415FF3" w:rsidP="006F646F">
          <w:pPr>
            <w:pStyle w:val="TOC1"/>
            <w:rPr>
              <w:rFonts w:asciiTheme="minorHAnsi" w:eastAsiaTheme="minorEastAsia" w:hAnsiTheme="minorHAnsi" w:cstheme="minorBidi"/>
              <w:noProof/>
              <w:color w:val="auto"/>
              <w:sz w:val="22"/>
              <w:szCs w:val="22"/>
            </w:rPr>
          </w:pPr>
          <w:hyperlink w:anchor="_Toc129256697" w:history="1">
            <w:r w:rsidR="006F646F" w:rsidRPr="00CC52AE">
              <w:rPr>
                <w:rStyle w:val="Hyperlink"/>
                <w:rFonts w:eastAsia="Times New Roman"/>
                <w:noProof/>
              </w:rPr>
              <w:t>2</w:t>
            </w:r>
            <w:r w:rsidR="006F646F">
              <w:rPr>
                <w:rFonts w:asciiTheme="minorHAnsi" w:eastAsiaTheme="minorEastAsia" w:hAnsiTheme="minorHAnsi" w:cstheme="minorBidi"/>
                <w:noProof/>
                <w:color w:val="auto"/>
                <w:sz w:val="22"/>
                <w:szCs w:val="22"/>
              </w:rPr>
              <w:tab/>
            </w:r>
            <w:r w:rsidR="006F646F" w:rsidRPr="00CC52AE">
              <w:rPr>
                <w:rStyle w:val="Hyperlink"/>
                <w:rFonts w:eastAsia="Times New Roman"/>
                <w:noProof/>
              </w:rPr>
              <w:t>Table of Findings</w:t>
            </w:r>
            <w:r w:rsidR="006F646F">
              <w:rPr>
                <w:noProof/>
                <w:webHidden/>
              </w:rPr>
              <w:tab/>
            </w:r>
            <w:r w:rsidR="006F646F">
              <w:rPr>
                <w:noProof/>
                <w:webHidden/>
              </w:rPr>
              <w:fldChar w:fldCharType="begin"/>
            </w:r>
            <w:r w:rsidR="006F646F">
              <w:rPr>
                <w:noProof/>
                <w:webHidden/>
              </w:rPr>
              <w:instrText xml:space="preserve"> PAGEREF _Toc129256697 \h </w:instrText>
            </w:r>
            <w:r w:rsidR="006F646F">
              <w:rPr>
                <w:noProof/>
                <w:webHidden/>
              </w:rPr>
            </w:r>
            <w:r w:rsidR="006F646F">
              <w:rPr>
                <w:noProof/>
                <w:webHidden/>
              </w:rPr>
              <w:fldChar w:fldCharType="separate"/>
            </w:r>
            <w:r w:rsidR="006F646F">
              <w:rPr>
                <w:noProof/>
                <w:webHidden/>
              </w:rPr>
              <w:t>159</w:t>
            </w:r>
            <w:r w:rsidR="006F646F">
              <w:rPr>
                <w:noProof/>
                <w:webHidden/>
              </w:rPr>
              <w:fldChar w:fldCharType="end"/>
            </w:r>
          </w:hyperlink>
        </w:p>
        <w:p w14:paraId="43D3647F" w14:textId="77777777" w:rsidR="006F646F" w:rsidRDefault="00415FF3" w:rsidP="006F646F">
          <w:pPr>
            <w:pStyle w:val="TOC1"/>
            <w:rPr>
              <w:rFonts w:asciiTheme="minorHAnsi" w:eastAsiaTheme="minorEastAsia" w:hAnsiTheme="minorHAnsi" w:cstheme="minorBidi"/>
              <w:noProof/>
              <w:color w:val="auto"/>
              <w:sz w:val="22"/>
              <w:szCs w:val="22"/>
            </w:rPr>
          </w:pPr>
          <w:hyperlink w:anchor="_Toc129256698" w:history="1">
            <w:r w:rsidR="006F646F" w:rsidRPr="00CC52AE">
              <w:rPr>
                <w:rStyle w:val="Hyperlink"/>
                <w:rFonts w:eastAsia="Times New Roman"/>
                <w:noProof/>
              </w:rPr>
              <w:t>3</w:t>
            </w:r>
            <w:r w:rsidR="006F646F">
              <w:rPr>
                <w:rFonts w:asciiTheme="minorHAnsi" w:eastAsiaTheme="minorEastAsia" w:hAnsiTheme="minorHAnsi" w:cstheme="minorBidi"/>
                <w:noProof/>
                <w:color w:val="auto"/>
                <w:sz w:val="22"/>
                <w:szCs w:val="22"/>
              </w:rPr>
              <w:tab/>
            </w:r>
            <w:r w:rsidR="006F646F" w:rsidRPr="00CC52AE">
              <w:rPr>
                <w:rStyle w:val="Hyperlink"/>
                <w:rFonts w:eastAsia="Times New Roman"/>
                <w:noProof/>
              </w:rPr>
              <w:t>Table of Recommendations</w:t>
            </w:r>
            <w:r w:rsidR="006F646F">
              <w:rPr>
                <w:noProof/>
                <w:webHidden/>
              </w:rPr>
              <w:tab/>
            </w:r>
            <w:r w:rsidR="006F646F">
              <w:rPr>
                <w:noProof/>
                <w:webHidden/>
              </w:rPr>
              <w:fldChar w:fldCharType="begin"/>
            </w:r>
            <w:r w:rsidR="006F646F">
              <w:rPr>
                <w:noProof/>
                <w:webHidden/>
              </w:rPr>
              <w:instrText xml:space="preserve"> PAGEREF _Toc129256698 \h </w:instrText>
            </w:r>
            <w:r w:rsidR="006F646F">
              <w:rPr>
                <w:noProof/>
                <w:webHidden/>
              </w:rPr>
            </w:r>
            <w:r w:rsidR="006F646F">
              <w:rPr>
                <w:noProof/>
                <w:webHidden/>
              </w:rPr>
              <w:fldChar w:fldCharType="separate"/>
            </w:r>
            <w:r w:rsidR="006F646F">
              <w:rPr>
                <w:noProof/>
                <w:webHidden/>
              </w:rPr>
              <w:t>164</w:t>
            </w:r>
            <w:r w:rsidR="006F646F">
              <w:rPr>
                <w:noProof/>
                <w:webHidden/>
              </w:rPr>
              <w:fldChar w:fldCharType="end"/>
            </w:r>
          </w:hyperlink>
        </w:p>
        <w:p w14:paraId="1FC323FF"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699" w:history="1">
            <w:r w:rsidR="006F646F" w:rsidRPr="00CC52AE">
              <w:rPr>
                <w:rStyle w:val="Hyperlink"/>
                <w:rFonts w:cstheme="minorHAnsi"/>
                <w:noProof/>
              </w:rPr>
              <w:t>Executive Summary</w:t>
            </w:r>
            <w:r w:rsidR="006F646F">
              <w:rPr>
                <w:noProof/>
                <w:webHidden/>
              </w:rPr>
              <w:tab/>
            </w:r>
            <w:r w:rsidR="006F646F">
              <w:rPr>
                <w:noProof/>
                <w:webHidden/>
              </w:rPr>
              <w:fldChar w:fldCharType="begin"/>
            </w:r>
            <w:r w:rsidR="006F646F">
              <w:rPr>
                <w:noProof/>
                <w:webHidden/>
              </w:rPr>
              <w:instrText xml:space="preserve"> PAGEREF _Toc129256699 \h </w:instrText>
            </w:r>
            <w:r w:rsidR="006F646F">
              <w:rPr>
                <w:noProof/>
                <w:webHidden/>
              </w:rPr>
            </w:r>
            <w:r w:rsidR="006F646F">
              <w:rPr>
                <w:noProof/>
                <w:webHidden/>
              </w:rPr>
              <w:fldChar w:fldCharType="separate"/>
            </w:r>
            <w:r w:rsidR="006F646F">
              <w:rPr>
                <w:noProof/>
                <w:webHidden/>
              </w:rPr>
              <w:t>166</w:t>
            </w:r>
            <w:r w:rsidR="006F646F">
              <w:rPr>
                <w:noProof/>
                <w:webHidden/>
              </w:rPr>
              <w:fldChar w:fldCharType="end"/>
            </w:r>
          </w:hyperlink>
        </w:p>
        <w:p w14:paraId="1C48A888" w14:textId="77777777" w:rsidR="006F646F" w:rsidRDefault="00415FF3" w:rsidP="006F646F">
          <w:pPr>
            <w:pStyle w:val="TOC1"/>
            <w:rPr>
              <w:rFonts w:asciiTheme="minorHAnsi" w:eastAsiaTheme="minorEastAsia" w:hAnsiTheme="minorHAnsi" w:cstheme="minorBidi"/>
              <w:noProof/>
              <w:color w:val="auto"/>
              <w:sz w:val="22"/>
              <w:szCs w:val="22"/>
            </w:rPr>
          </w:pPr>
          <w:hyperlink w:anchor="_Toc129256700" w:history="1">
            <w:r w:rsidR="006F646F" w:rsidRPr="00CC52AE">
              <w:rPr>
                <w:rStyle w:val="Hyperlink"/>
                <w:rFonts w:eastAsia="Times New Roman"/>
                <w:noProof/>
              </w:rPr>
              <w:t>Landfill Life Projections</w:t>
            </w:r>
            <w:r w:rsidR="006F646F">
              <w:rPr>
                <w:noProof/>
                <w:webHidden/>
              </w:rPr>
              <w:tab/>
            </w:r>
            <w:r w:rsidR="006F646F">
              <w:rPr>
                <w:noProof/>
                <w:webHidden/>
              </w:rPr>
              <w:fldChar w:fldCharType="begin"/>
            </w:r>
            <w:r w:rsidR="006F646F">
              <w:rPr>
                <w:noProof/>
                <w:webHidden/>
              </w:rPr>
              <w:instrText xml:space="preserve"> PAGEREF _Toc129256700 \h </w:instrText>
            </w:r>
            <w:r w:rsidR="006F646F">
              <w:rPr>
                <w:noProof/>
                <w:webHidden/>
              </w:rPr>
            </w:r>
            <w:r w:rsidR="006F646F">
              <w:rPr>
                <w:noProof/>
                <w:webHidden/>
              </w:rPr>
              <w:fldChar w:fldCharType="separate"/>
            </w:r>
            <w:r w:rsidR="006F646F">
              <w:rPr>
                <w:noProof/>
                <w:webHidden/>
              </w:rPr>
              <w:t>166</w:t>
            </w:r>
            <w:r w:rsidR="006F646F">
              <w:rPr>
                <w:noProof/>
                <w:webHidden/>
              </w:rPr>
              <w:fldChar w:fldCharType="end"/>
            </w:r>
          </w:hyperlink>
        </w:p>
        <w:p w14:paraId="2A763A68"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01" w:history="1">
            <w:r w:rsidR="006F646F" w:rsidRPr="00CC52AE">
              <w:rPr>
                <w:rStyle w:val="Hyperlink"/>
                <w:rFonts w:eastAsia="Times New Roman" w:cstheme="minorHAnsi"/>
                <w:noProof/>
              </w:rPr>
              <w:t>A.</w:t>
            </w:r>
            <w:r w:rsidR="006F646F">
              <w:rPr>
                <w:rFonts w:asciiTheme="minorHAnsi" w:eastAsiaTheme="minorEastAsia" w:hAnsiTheme="minorHAnsi"/>
                <w:b w:val="0"/>
                <w:bCs w:val="0"/>
                <w:noProof/>
                <w:color w:val="auto"/>
                <w:sz w:val="22"/>
                <w:szCs w:val="22"/>
              </w:rPr>
              <w:tab/>
            </w:r>
            <w:r w:rsidR="006F646F" w:rsidRPr="00CC52AE">
              <w:rPr>
                <w:rStyle w:val="Hyperlink"/>
                <w:rFonts w:eastAsia="Times New Roman" w:cstheme="minorHAnsi"/>
                <w:noProof/>
              </w:rPr>
              <w:t>Coffin Butte Site Life Projection: 2023 to closure</w:t>
            </w:r>
            <w:r w:rsidR="006F646F">
              <w:rPr>
                <w:noProof/>
                <w:webHidden/>
              </w:rPr>
              <w:tab/>
            </w:r>
            <w:r w:rsidR="006F646F">
              <w:rPr>
                <w:noProof/>
                <w:webHidden/>
              </w:rPr>
              <w:fldChar w:fldCharType="begin"/>
            </w:r>
            <w:r w:rsidR="006F646F">
              <w:rPr>
                <w:noProof/>
                <w:webHidden/>
              </w:rPr>
              <w:instrText xml:space="preserve"> PAGEREF _Toc129256701 \h </w:instrText>
            </w:r>
            <w:r w:rsidR="006F646F">
              <w:rPr>
                <w:noProof/>
                <w:webHidden/>
              </w:rPr>
            </w:r>
            <w:r w:rsidR="006F646F">
              <w:rPr>
                <w:noProof/>
                <w:webHidden/>
              </w:rPr>
              <w:fldChar w:fldCharType="separate"/>
            </w:r>
            <w:r w:rsidR="006F646F">
              <w:rPr>
                <w:noProof/>
                <w:webHidden/>
              </w:rPr>
              <w:t>166</w:t>
            </w:r>
            <w:r w:rsidR="006F646F">
              <w:rPr>
                <w:noProof/>
                <w:webHidden/>
              </w:rPr>
              <w:fldChar w:fldCharType="end"/>
            </w:r>
          </w:hyperlink>
        </w:p>
        <w:p w14:paraId="14AB68D2"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02" w:history="1">
            <w:r w:rsidR="006F646F" w:rsidRPr="00CC52AE">
              <w:rPr>
                <w:rStyle w:val="Hyperlink"/>
                <w:rFonts w:eastAsia="Times New Roman" w:cstheme="minorHAnsi"/>
                <w:noProof/>
              </w:rPr>
              <w:t>B.</w:t>
            </w:r>
            <w:r w:rsidR="006F646F">
              <w:rPr>
                <w:rFonts w:asciiTheme="minorHAnsi" w:eastAsiaTheme="minorEastAsia" w:hAnsiTheme="minorHAnsi"/>
                <w:b w:val="0"/>
                <w:bCs w:val="0"/>
                <w:noProof/>
                <w:color w:val="auto"/>
                <w:sz w:val="22"/>
                <w:szCs w:val="22"/>
              </w:rPr>
              <w:tab/>
            </w:r>
            <w:r w:rsidR="006F646F" w:rsidRPr="00CC52AE">
              <w:rPr>
                <w:rStyle w:val="Hyperlink"/>
                <w:rFonts w:eastAsia="Times New Roman" w:cstheme="minorHAnsi"/>
                <w:noProof/>
              </w:rPr>
              <w:t>Historical Landfill Life Projections</w:t>
            </w:r>
            <w:r w:rsidR="006F646F">
              <w:rPr>
                <w:noProof/>
                <w:webHidden/>
              </w:rPr>
              <w:tab/>
            </w:r>
            <w:r w:rsidR="006F646F">
              <w:rPr>
                <w:noProof/>
                <w:webHidden/>
              </w:rPr>
              <w:fldChar w:fldCharType="begin"/>
            </w:r>
            <w:r w:rsidR="006F646F">
              <w:rPr>
                <w:noProof/>
                <w:webHidden/>
              </w:rPr>
              <w:instrText xml:space="preserve"> PAGEREF _Toc129256702 \h </w:instrText>
            </w:r>
            <w:r w:rsidR="006F646F">
              <w:rPr>
                <w:noProof/>
                <w:webHidden/>
              </w:rPr>
            </w:r>
            <w:r w:rsidR="006F646F">
              <w:rPr>
                <w:noProof/>
                <w:webHidden/>
              </w:rPr>
              <w:fldChar w:fldCharType="separate"/>
            </w:r>
            <w:r w:rsidR="006F646F">
              <w:rPr>
                <w:noProof/>
                <w:webHidden/>
              </w:rPr>
              <w:t>167</w:t>
            </w:r>
            <w:r w:rsidR="006F646F">
              <w:rPr>
                <w:noProof/>
                <w:webHidden/>
              </w:rPr>
              <w:fldChar w:fldCharType="end"/>
            </w:r>
          </w:hyperlink>
        </w:p>
        <w:p w14:paraId="0EE10D3E"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03" w:history="1">
            <w:r w:rsidR="006F646F">
              <w:rPr>
                <w:rFonts w:asciiTheme="minorHAnsi" w:eastAsiaTheme="minorEastAsia" w:hAnsiTheme="minorHAnsi"/>
                <w:b w:val="0"/>
                <w:bCs w:val="0"/>
                <w:noProof/>
                <w:color w:val="auto"/>
                <w:sz w:val="22"/>
                <w:szCs w:val="22"/>
              </w:rPr>
              <w:tab/>
            </w:r>
            <w:r w:rsidR="006F646F" w:rsidRPr="00CC52AE">
              <w:rPr>
                <w:rStyle w:val="Hyperlink"/>
                <w:rFonts w:eastAsia="Times New Roman" w:cstheme="minorHAnsi"/>
                <w:noProof/>
              </w:rPr>
              <w:t>Recent intake volume: 1993 – 2021</w:t>
            </w:r>
            <w:r w:rsidR="006F646F">
              <w:rPr>
                <w:noProof/>
                <w:webHidden/>
              </w:rPr>
              <w:tab/>
            </w:r>
            <w:r w:rsidR="006F646F">
              <w:rPr>
                <w:noProof/>
                <w:webHidden/>
              </w:rPr>
              <w:fldChar w:fldCharType="begin"/>
            </w:r>
            <w:r w:rsidR="006F646F">
              <w:rPr>
                <w:noProof/>
                <w:webHidden/>
              </w:rPr>
              <w:instrText xml:space="preserve"> PAGEREF _Toc129256703 \h </w:instrText>
            </w:r>
            <w:r w:rsidR="006F646F">
              <w:rPr>
                <w:noProof/>
                <w:webHidden/>
              </w:rPr>
            </w:r>
            <w:r w:rsidR="006F646F">
              <w:rPr>
                <w:noProof/>
                <w:webHidden/>
              </w:rPr>
              <w:fldChar w:fldCharType="separate"/>
            </w:r>
            <w:r w:rsidR="006F646F">
              <w:rPr>
                <w:noProof/>
                <w:webHidden/>
              </w:rPr>
              <w:t>168</w:t>
            </w:r>
            <w:r w:rsidR="006F646F">
              <w:rPr>
                <w:noProof/>
                <w:webHidden/>
              </w:rPr>
              <w:fldChar w:fldCharType="end"/>
            </w:r>
          </w:hyperlink>
        </w:p>
        <w:p w14:paraId="6AC5CBE7" w14:textId="77777777" w:rsidR="006F646F" w:rsidRDefault="00415FF3" w:rsidP="006F646F">
          <w:pPr>
            <w:pStyle w:val="TOC3"/>
            <w:rPr>
              <w:rFonts w:asciiTheme="minorHAnsi" w:eastAsiaTheme="minorEastAsia" w:hAnsiTheme="minorHAnsi"/>
              <w:noProof/>
              <w:szCs w:val="22"/>
            </w:rPr>
          </w:pPr>
          <w:hyperlink w:anchor="_Toc129256704" w:history="1">
            <w:r w:rsidR="006F646F" w:rsidRPr="00CC52AE">
              <w:rPr>
                <w:rStyle w:val="Hyperlink"/>
                <w:rFonts w:eastAsia="Times New Roman" w:cstheme="minorHAnsi"/>
                <w:b/>
                <w:bCs/>
                <w:noProof/>
              </w:rPr>
              <w:t>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Intake volume by source 2016 – 2021</w:t>
            </w:r>
            <w:r w:rsidR="006F646F">
              <w:rPr>
                <w:noProof/>
                <w:webHidden/>
              </w:rPr>
              <w:tab/>
            </w:r>
            <w:r w:rsidR="006F646F">
              <w:rPr>
                <w:noProof/>
                <w:webHidden/>
              </w:rPr>
              <w:fldChar w:fldCharType="begin"/>
            </w:r>
            <w:r w:rsidR="006F646F">
              <w:rPr>
                <w:noProof/>
                <w:webHidden/>
              </w:rPr>
              <w:instrText xml:space="preserve"> PAGEREF _Toc129256704 \h </w:instrText>
            </w:r>
            <w:r w:rsidR="006F646F">
              <w:rPr>
                <w:noProof/>
                <w:webHidden/>
              </w:rPr>
            </w:r>
            <w:r w:rsidR="006F646F">
              <w:rPr>
                <w:noProof/>
                <w:webHidden/>
              </w:rPr>
              <w:fldChar w:fldCharType="separate"/>
            </w:r>
            <w:r w:rsidR="006F646F">
              <w:rPr>
                <w:noProof/>
                <w:webHidden/>
              </w:rPr>
              <w:t>169</w:t>
            </w:r>
            <w:r w:rsidR="006F646F">
              <w:rPr>
                <w:noProof/>
                <w:webHidden/>
              </w:rPr>
              <w:fldChar w:fldCharType="end"/>
            </w:r>
          </w:hyperlink>
        </w:p>
        <w:p w14:paraId="412C4897"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05" w:history="1">
            <w:r w:rsidR="006F646F" w:rsidRPr="00CC52AE">
              <w:rPr>
                <w:rStyle w:val="Hyperlink"/>
                <w:rFonts w:cstheme="minorHAnsi"/>
                <w:noProof/>
              </w:rPr>
              <w:t>Section 1: Landfill Size</w:t>
            </w:r>
            <w:r w:rsidR="006F646F">
              <w:rPr>
                <w:noProof/>
                <w:webHidden/>
              </w:rPr>
              <w:tab/>
            </w:r>
            <w:r w:rsidR="006F646F">
              <w:rPr>
                <w:noProof/>
                <w:webHidden/>
              </w:rPr>
              <w:fldChar w:fldCharType="begin"/>
            </w:r>
            <w:r w:rsidR="006F646F">
              <w:rPr>
                <w:noProof/>
                <w:webHidden/>
              </w:rPr>
              <w:instrText xml:space="preserve"> PAGEREF _Toc129256705 \h </w:instrText>
            </w:r>
            <w:r w:rsidR="006F646F">
              <w:rPr>
                <w:noProof/>
                <w:webHidden/>
              </w:rPr>
            </w:r>
            <w:r w:rsidR="006F646F">
              <w:rPr>
                <w:noProof/>
                <w:webHidden/>
              </w:rPr>
              <w:fldChar w:fldCharType="separate"/>
            </w:r>
            <w:r w:rsidR="006F646F">
              <w:rPr>
                <w:noProof/>
                <w:webHidden/>
              </w:rPr>
              <w:t>171</w:t>
            </w:r>
            <w:r w:rsidR="006F646F">
              <w:rPr>
                <w:noProof/>
                <w:webHidden/>
              </w:rPr>
              <w:fldChar w:fldCharType="end"/>
            </w:r>
          </w:hyperlink>
        </w:p>
        <w:p w14:paraId="5AE9A371" w14:textId="77777777" w:rsidR="006F646F" w:rsidRDefault="00415FF3" w:rsidP="006F646F">
          <w:pPr>
            <w:pStyle w:val="TOC3"/>
            <w:rPr>
              <w:rFonts w:asciiTheme="minorHAnsi" w:eastAsiaTheme="minorEastAsia" w:hAnsiTheme="minorHAnsi"/>
              <w:noProof/>
              <w:szCs w:val="22"/>
            </w:rPr>
          </w:pPr>
          <w:hyperlink w:anchor="_Toc129256706" w:history="1">
            <w:r w:rsidR="006F646F" w:rsidRPr="00CC52AE">
              <w:rPr>
                <w:rStyle w:val="Hyperlink"/>
                <w:rFonts w:cstheme="minorHAnsi"/>
                <w:noProof/>
              </w:rPr>
              <w:t>L.</w:t>
            </w:r>
            <w:r w:rsidR="006F646F">
              <w:rPr>
                <w:rFonts w:asciiTheme="minorHAnsi" w:eastAsiaTheme="minorEastAsia" w:hAnsiTheme="minorHAnsi"/>
                <w:noProof/>
                <w:szCs w:val="22"/>
              </w:rPr>
              <w:tab/>
            </w:r>
            <w:r w:rsidR="006F646F" w:rsidRPr="00CC52AE">
              <w:rPr>
                <w:rStyle w:val="Hyperlink"/>
                <w:rFonts w:cstheme="minorHAnsi"/>
                <w:noProof/>
              </w:rPr>
              <w:t>Physical Real Estate Footprint</w:t>
            </w:r>
            <w:r w:rsidR="006F646F">
              <w:rPr>
                <w:noProof/>
                <w:webHidden/>
              </w:rPr>
              <w:tab/>
            </w:r>
            <w:r w:rsidR="006F646F">
              <w:rPr>
                <w:noProof/>
                <w:webHidden/>
              </w:rPr>
              <w:fldChar w:fldCharType="begin"/>
            </w:r>
            <w:r w:rsidR="006F646F">
              <w:rPr>
                <w:noProof/>
                <w:webHidden/>
              </w:rPr>
              <w:instrText xml:space="preserve"> PAGEREF _Toc129256706 \h </w:instrText>
            </w:r>
            <w:r w:rsidR="006F646F">
              <w:rPr>
                <w:noProof/>
                <w:webHidden/>
              </w:rPr>
            </w:r>
            <w:r w:rsidR="006F646F">
              <w:rPr>
                <w:noProof/>
                <w:webHidden/>
              </w:rPr>
              <w:fldChar w:fldCharType="separate"/>
            </w:r>
            <w:r w:rsidR="006F646F">
              <w:rPr>
                <w:noProof/>
                <w:webHidden/>
              </w:rPr>
              <w:t>171</w:t>
            </w:r>
            <w:r w:rsidR="006F646F">
              <w:rPr>
                <w:noProof/>
                <w:webHidden/>
              </w:rPr>
              <w:fldChar w:fldCharType="end"/>
            </w:r>
          </w:hyperlink>
        </w:p>
        <w:p w14:paraId="5030170B" w14:textId="77777777" w:rsidR="006F646F" w:rsidRDefault="00415FF3" w:rsidP="006F646F">
          <w:pPr>
            <w:pStyle w:val="TOC3"/>
            <w:rPr>
              <w:rFonts w:asciiTheme="minorHAnsi" w:eastAsiaTheme="minorEastAsia" w:hAnsiTheme="minorHAnsi"/>
              <w:noProof/>
              <w:szCs w:val="22"/>
            </w:rPr>
          </w:pPr>
          <w:hyperlink w:anchor="_Toc129256707" w:history="1">
            <w:r w:rsidR="006F646F" w:rsidRPr="00CC52AE">
              <w:rPr>
                <w:rStyle w:val="Hyperlink"/>
                <w:rFonts w:eastAsia="Times New Roman" w:cstheme="minorHAnsi"/>
                <w:noProof/>
              </w:rPr>
              <w:t>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History</w:t>
            </w:r>
            <w:r w:rsidR="006F646F">
              <w:rPr>
                <w:noProof/>
                <w:webHidden/>
              </w:rPr>
              <w:tab/>
            </w:r>
            <w:r w:rsidR="006F646F">
              <w:rPr>
                <w:noProof/>
                <w:webHidden/>
              </w:rPr>
              <w:fldChar w:fldCharType="begin"/>
            </w:r>
            <w:r w:rsidR="006F646F">
              <w:rPr>
                <w:noProof/>
                <w:webHidden/>
              </w:rPr>
              <w:instrText xml:space="preserve"> PAGEREF _Toc129256707 \h </w:instrText>
            </w:r>
            <w:r w:rsidR="006F646F">
              <w:rPr>
                <w:noProof/>
                <w:webHidden/>
              </w:rPr>
            </w:r>
            <w:r w:rsidR="006F646F">
              <w:rPr>
                <w:noProof/>
                <w:webHidden/>
              </w:rPr>
              <w:fldChar w:fldCharType="separate"/>
            </w:r>
            <w:r w:rsidR="006F646F">
              <w:rPr>
                <w:noProof/>
                <w:webHidden/>
              </w:rPr>
              <w:t>171</w:t>
            </w:r>
            <w:r w:rsidR="006F646F">
              <w:rPr>
                <w:noProof/>
                <w:webHidden/>
              </w:rPr>
              <w:fldChar w:fldCharType="end"/>
            </w:r>
          </w:hyperlink>
        </w:p>
        <w:p w14:paraId="5FF0D789" w14:textId="77777777" w:rsidR="006F646F" w:rsidRDefault="00415FF3" w:rsidP="006F646F">
          <w:pPr>
            <w:pStyle w:val="TOC3"/>
            <w:rPr>
              <w:rFonts w:asciiTheme="minorHAnsi" w:eastAsiaTheme="minorEastAsia" w:hAnsiTheme="minorHAnsi"/>
              <w:noProof/>
              <w:szCs w:val="22"/>
            </w:rPr>
          </w:pPr>
          <w:hyperlink w:anchor="_Toc129256708" w:history="1">
            <w:r w:rsidR="006F646F" w:rsidRPr="00CC52AE">
              <w:rPr>
                <w:rStyle w:val="Hyperlink"/>
                <w:rFonts w:eastAsia="Times New Roman" w:cstheme="minorHAnsi"/>
                <w:b/>
                <w:bCs/>
                <w:noProof/>
              </w:rPr>
              <w:t>Images</w:t>
            </w:r>
            <w:r w:rsidR="006F646F">
              <w:rPr>
                <w:noProof/>
                <w:webHidden/>
              </w:rPr>
              <w:tab/>
            </w:r>
            <w:r w:rsidR="006F646F">
              <w:rPr>
                <w:noProof/>
                <w:webHidden/>
              </w:rPr>
              <w:fldChar w:fldCharType="begin"/>
            </w:r>
            <w:r w:rsidR="006F646F">
              <w:rPr>
                <w:noProof/>
                <w:webHidden/>
              </w:rPr>
              <w:instrText xml:space="preserve"> PAGEREF _Toc129256708 \h </w:instrText>
            </w:r>
            <w:r w:rsidR="006F646F">
              <w:rPr>
                <w:noProof/>
                <w:webHidden/>
              </w:rPr>
            </w:r>
            <w:r w:rsidR="006F646F">
              <w:rPr>
                <w:noProof/>
                <w:webHidden/>
              </w:rPr>
              <w:fldChar w:fldCharType="separate"/>
            </w:r>
            <w:r w:rsidR="006F646F">
              <w:rPr>
                <w:noProof/>
                <w:webHidden/>
              </w:rPr>
              <w:t>172</w:t>
            </w:r>
            <w:r w:rsidR="006F646F">
              <w:rPr>
                <w:noProof/>
                <w:webHidden/>
              </w:rPr>
              <w:fldChar w:fldCharType="end"/>
            </w:r>
          </w:hyperlink>
        </w:p>
        <w:p w14:paraId="35899B1B" w14:textId="77777777" w:rsidR="006F646F" w:rsidRDefault="00415FF3" w:rsidP="006F646F">
          <w:pPr>
            <w:pStyle w:val="TOC3"/>
            <w:rPr>
              <w:rFonts w:asciiTheme="minorHAnsi" w:eastAsiaTheme="minorEastAsia" w:hAnsiTheme="minorHAnsi"/>
              <w:noProof/>
              <w:szCs w:val="22"/>
            </w:rPr>
          </w:pPr>
          <w:hyperlink w:anchor="_Toc129256709" w:history="1">
            <w:r w:rsidR="006F646F" w:rsidRPr="00CC52AE">
              <w:rPr>
                <w:rStyle w:val="Hyperlink"/>
                <w:rFonts w:eastAsia="Times New Roman" w:cstheme="minorHAnsi"/>
                <w:b/>
                <w:bCs/>
                <w:noProof/>
              </w:rPr>
              <w:t>ii.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Current footprint</w:t>
            </w:r>
            <w:r w:rsidR="006F646F">
              <w:rPr>
                <w:noProof/>
                <w:webHidden/>
              </w:rPr>
              <w:tab/>
            </w:r>
            <w:r w:rsidR="006F646F">
              <w:rPr>
                <w:noProof/>
                <w:webHidden/>
              </w:rPr>
              <w:fldChar w:fldCharType="begin"/>
            </w:r>
            <w:r w:rsidR="006F646F">
              <w:rPr>
                <w:noProof/>
                <w:webHidden/>
              </w:rPr>
              <w:instrText xml:space="preserve"> PAGEREF _Toc129256709 \h </w:instrText>
            </w:r>
            <w:r w:rsidR="006F646F">
              <w:rPr>
                <w:noProof/>
                <w:webHidden/>
              </w:rPr>
            </w:r>
            <w:r w:rsidR="006F646F">
              <w:rPr>
                <w:noProof/>
                <w:webHidden/>
              </w:rPr>
              <w:fldChar w:fldCharType="separate"/>
            </w:r>
            <w:r w:rsidR="006F646F">
              <w:rPr>
                <w:noProof/>
                <w:webHidden/>
              </w:rPr>
              <w:t>179</w:t>
            </w:r>
            <w:r w:rsidR="006F646F">
              <w:rPr>
                <w:noProof/>
                <w:webHidden/>
              </w:rPr>
              <w:fldChar w:fldCharType="end"/>
            </w:r>
          </w:hyperlink>
        </w:p>
        <w:p w14:paraId="7B1029B4" w14:textId="77777777" w:rsidR="006F646F" w:rsidRDefault="00415FF3" w:rsidP="006F646F">
          <w:pPr>
            <w:pStyle w:val="TOC3"/>
            <w:tabs>
              <w:tab w:val="left" w:pos="1440"/>
            </w:tabs>
            <w:rPr>
              <w:rFonts w:asciiTheme="minorHAnsi" w:eastAsiaTheme="minorEastAsia" w:hAnsiTheme="minorHAnsi"/>
              <w:noProof/>
              <w:szCs w:val="22"/>
            </w:rPr>
          </w:pPr>
          <w:hyperlink w:anchor="_Toc129256710" w:history="1">
            <w:r w:rsidR="006F646F" w:rsidRPr="00CC52AE">
              <w:rPr>
                <w:rStyle w:val="Hyperlink"/>
                <w:rFonts w:cstheme="minorHAnsi"/>
                <w:noProof/>
              </w:rPr>
              <w:t>M.</w:t>
            </w:r>
            <w:r w:rsidR="006F646F">
              <w:rPr>
                <w:rFonts w:asciiTheme="minorHAnsi" w:eastAsiaTheme="minorEastAsia" w:hAnsiTheme="minorHAnsi"/>
                <w:noProof/>
                <w:szCs w:val="22"/>
              </w:rPr>
              <w:tab/>
            </w:r>
            <w:r w:rsidR="006F646F" w:rsidRPr="00CC52AE">
              <w:rPr>
                <w:rStyle w:val="Hyperlink"/>
                <w:rFonts w:cstheme="minorHAnsi"/>
                <w:noProof/>
              </w:rPr>
              <w:t>Permitted Disposal Capacity</w:t>
            </w:r>
            <w:r w:rsidR="006F646F">
              <w:rPr>
                <w:noProof/>
                <w:webHidden/>
              </w:rPr>
              <w:tab/>
            </w:r>
            <w:r w:rsidR="006F646F">
              <w:rPr>
                <w:noProof/>
                <w:webHidden/>
              </w:rPr>
              <w:fldChar w:fldCharType="begin"/>
            </w:r>
            <w:r w:rsidR="006F646F">
              <w:rPr>
                <w:noProof/>
                <w:webHidden/>
              </w:rPr>
              <w:instrText xml:space="preserve"> PAGEREF _Toc129256710 \h </w:instrText>
            </w:r>
            <w:r w:rsidR="006F646F">
              <w:rPr>
                <w:noProof/>
                <w:webHidden/>
              </w:rPr>
            </w:r>
            <w:r w:rsidR="006F646F">
              <w:rPr>
                <w:noProof/>
                <w:webHidden/>
              </w:rPr>
              <w:fldChar w:fldCharType="separate"/>
            </w:r>
            <w:r w:rsidR="006F646F">
              <w:rPr>
                <w:noProof/>
                <w:webHidden/>
              </w:rPr>
              <w:t>180</w:t>
            </w:r>
            <w:r w:rsidR="006F646F">
              <w:rPr>
                <w:noProof/>
                <w:webHidden/>
              </w:rPr>
              <w:fldChar w:fldCharType="end"/>
            </w:r>
          </w:hyperlink>
        </w:p>
        <w:p w14:paraId="361CE8DC" w14:textId="77777777" w:rsidR="006F646F" w:rsidRDefault="00415FF3" w:rsidP="006F646F">
          <w:pPr>
            <w:pStyle w:val="TOC3"/>
            <w:tabs>
              <w:tab w:val="left" w:pos="1440"/>
            </w:tabs>
            <w:rPr>
              <w:rFonts w:asciiTheme="minorHAnsi" w:eastAsiaTheme="minorEastAsia" w:hAnsiTheme="minorHAnsi"/>
              <w:noProof/>
              <w:szCs w:val="22"/>
            </w:rPr>
          </w:pPr>
          <w:hyperlink w:anchor="_Toc129256711" w:history="1">
            <w:r w:rsidR="006F646F" w:rsidRPr="00CC52AE">
              <w:rPr>
                <w:rStyle w:val="Hyperlink"/>
                <w:rFonts w:eastAsia="Times New Roman" w:cstheme="minorHAnsi"/>
                <w:b/>
                <w:bCs/>
                <w:noProof/>
              </w:rPr>
              <w:t>iii.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Historical permitted capacity benchmarks</w:t>
            </w:r>
            <w:r w:rsidR="006F646F">
              <w:rPr>
                <w:noProof/>
                <w:webHidden/>
              </w:rPr>
              <w:tab/>
            </w:r>
            <w:r w:rsidR="006F646F">
              <w:rPr>
                <w:noProof/>
                <w:webHidden/>
              </w:rPr>
              <w:fldChar w:fldCharType="begin"/>
            </w:r>
            <w:r w:rsidR="006F646F">
              <w:rPr>
                <w:noProof/>
                <w:webHidden/>
              </w:rPr>
              <w:instrText xml:space="preserve"> PAGEREF _Toc129256711 \h </w:instrText>
            </w:r>
            <w:r w:rsidR="006F646F">
              <w:rPr>
                <w:noProof/>
                <w:webHidden/>
              </w:rPr>
            </w:r>
            <w:r w:rsidR="006F646F">
              <w:rPr>
                <w:noProof/>
                <w:webHidden/>
              </w:rPr>
              <w:fldChar w:fldCharType="separate"/>
            </w:r>
            <w:r w:rsidR="006F646F">
              <w:rPr>
                <w:noProof/>
                <w:webHidden/>
              </w:rPr>
              <w:t>180</w:t>
            </w:r>
            <w:r w:rsidR="006F646F">
              <w:rPr>
                <w:noProof/>
                <w:webHidden/>
              </w:rPr>
              <w:fldChar w:fldCharType="end"/>
            </w:r>
          </w:hyperlink>
        </w:p>
        <w:p w14:paraId="0E1E0D2D" w14:textId="77777777" w:rsidR="006F646F" w:rsidRDefault="00415FF3" w:rsidP="006F646F">
          <w:pPr>
            <w:pStyle w:val="TOC3"/>
            <w:tabs>
              <w:tab w:val="left" w:pos="1200"/>
            </w:tabs>
            <w:rPr>
              <w:rFonts w:asciiTheme="minorHAnsi" w:eastAsiaTheme="minorEastAsia" w:hAnsiTheme="minorHAnsi"/>
              <w:noProof/>
              <w:szCs w:val="22"/>
            </w:rPr>
          </w:pPr>
          <w:hyperlink w:anchor="_Toc129256712" w:history="1">
            <w:r w:rsidR="006F646F" w:rsidRPr="00CC52AE">
              <w:rPr>
                <w:rStyle w:val="Hyperlink"/>
                <w:rFonts w:eastAsia="Times New Roman" w:cstheme="minorHAnsi"/>
                <w:b/>
                <w:bCs/>
                <w:noProof/>
              </w:rPr>
              <w:t>iv.</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Capacity utilization 2001 – 2021</w:t>
            </w:r>
            <w:r w:rsidR="006F646F">
              <w:rPr>
                <w:noProof/>
                <w:webHidden/>
              </w:rPr>
              <w:tab/>
            </w:r>
            <w:r w:rsidR="006F646F">
              <w:rPr>
                <w:noProof/>
                <w:webHidden/>
              </w:rPr>
              <w:fldChar w:fldCharType="begin"/>
            </w:r>
            <w:r w:rsidR="006F646F">
              <w:rPr>
                <w:noProof/>
                <w:webHidden/>
              </w:rPr>
              <w:instrText xml:space="preserve"> PAGEREF _Toc129256712 \h </w:instrText>
            </w:r>
            <w:r w:rsidR="006F646F">
              <w:rPr>
                <w:noProof/>
                <w:webHidden/>
              </w:rPr>
            </w:r>
            <w:r w:rsidR="006F646F">
              <w:rPr>
                <w:noProof/>
                <w:webHidden/>
              </w:rPr>
              <w:fldChar w:fldCharType="separate"/>
            </w:r>
            <w:r w:rsidR="006F646F">
              <w:rPr>
                <w:noProof/>
                <w:webHidden/>
              </w:rPr>
              <w:t>181</w:t>
            </w:r>
            <w:r w:rsidR="006F646F">
              <w:rPr>
                <w:noProof/>
                <w:webHidden/>
              </w:rPr>
              <w:fldChar w:fldCharType="end"/>
            </w:r>
          </w:hyperlink>
        </w:p>
        <w:p w14:paraId="31EC353D" w14:textId="77777777" w:rsidR="006F646F" w:rsidRDefault="00415FF3" w:rsidP="006F646F">
          <w:pPr>
            <w:pStyle w:val="TOC3"/>
            <w:rPr>
              <w:rFonts w:asciiTheme="minorHAnsi" w:eastAsiaTheme="minorEastAsia" w:hAnsiTheme="minorHAnsi"/>
              <w:noProof/>
              <w:szCs w:val="22"/>
            </w:rPr>
          </w:pPr>
          <w:hyperlink w:anchor="_Toc129256713" w:history="1">
            <w:r w:rsidR="006F646F" w:rsidRPr="00CC52AE">
              <w:rPr>
                <w:rStyle w:val="Hyperlink"/>
                <w:rFonts w:eastAsia="Times New Roman" w:cstheme="minorHAnsi"/>
                <w:b/>
                <w:bCs/>
                <w:noProof/>
              </w:rPr>
              <w:t>Near-term (circa 2025) capacity adjustments for 5-year operating plan</w:t>
            </w:r>
            <w:r w:rsidR="006F646F">
              <w:rPr>
                <w:noProof/>
                <w:webHidden/>
              </w:rPr>
              <w:tab/>
            </w:r>
            <w:r w:rsidR="006F646F">
              <w:rPr>
                <w:noProof/>
                <w:webHidden/>
              </w:rPr>
              <w:fldChar w:fldCharType="begin"/>
            </w:r>
            <w:r w:rsidR="006F646F">
              <w:rPr>
                <w:noProof/>
                <w:webHidden/>
              </w:rPr>
              <w:instrText xml:space="preserve"> PAGEREF _Toc129256713 \h </w:instrText>
            </w:r>
            <w:r w:rsidR="006F646F">
              <w:rPr>
                <w:noProof/>
                <w:webHidden/>
              </w:rPr>
            </w:r>
            <w:r w:rsidR="006F646F">
              <w:rPr>
                <w:noProof/>
                <w:webHidden/>
              </w:rPr>
              <w:fldChar w:fldCharType="separate"/>
            </w:r>
            <w:r w:rsidR="006F646F">
              <w:rPr>
                <w:noProof/>
                <w:webHidden/>
              </w:rPr>
              <w:t>182</w:t>
            </w:r>
            <w:r w:rsidR="006F646F">
              <w:rPr>
                <w:noProof/>
                <w:webHidden/>
              </w:rPr>
              <w:fldChar w:fldCharType="end"/>
            </w:r>
          </w:hyperlink>
        </w:p>
        <w:p w14:paraId="4DC34059" w14:textId="77777777" w:rsidR="006F646F" w:rsidRDefault="00415FF3" w:rsidP="006F646F">
          <w:pPr>
            <w:pStyle w:val="TOC3"/>
            <w:rPr>
              <w:rFonts w:asciiTheme="minorHAnsi" w:eastAsiaTheme="minorEastAsia" w:hAnsiTheme="minorHAnsi"/>
              <w:noProof/>
              <w:szCs w:val="22"/>
            </w:rPr>
          </w:pPr>
          <w:hyperlink w:anchor="_Toc129256714" w:history="1">
            <w:r w:rsidR="006F646F" w:rsidRPr="00CC52AE">
              <w:rPr>
                <w:rStyle w:val="Hyperlink"/>
                <w:rFonts w:cstheme="minorHAnsi"/>
                <w:noProof/>
              </w:rPr>
              <w:t>N.</w:t>
            </w:r>
            <w:r w:rsidR="006F646F">
              <w:rPr>
                <w:rFonts w:asciiTheme="minorHAnsi" w:eastAsiaTheme="minorEastAsia" w:hAnsiTheme="minorHAnsi"/>
                <w:noProof/>
                <w:szCs w:val="22"/>
              </w:rPr>
              <w:tab/>
            </w:r>
            <w:r w:rsidR="006F646F" w:rsidRPr="00CC52AE">
              <w:rPr>
                <w:rStyle w:val="Hyperlink"/>
                <w:rFonts w:cstheme="minorHAnsi"/>
                <w:noProof/>
              </w:rPr>
              <w:t>Intake Volume</w:t>
            </w:r>
            <w:r w:rsidR="006F646F">
              <w:rPr>
                <w:noProof/>
                <w:webHidden/>
              </w:rPr>
              <w:tab/>
            </w:r>
            <w:r w:rsidR="006F646F">
              <w:rPr>
                <w:noProof/>
                <w:webHidden/>
              </w:rPr>
              <w:fldChar w:fldCharType="begin"/>
            </w:r>
            <w:r w:rsidR="006F646F">
              <w:rPr>
                <w:noProof/>
                <w:webHidden/>
              </w:rPr>
              <w:instrText xml:space="preserve"> PAGEREF _Toc129256714 \h </w:instrText>
            </w:r>
            <w:r w:rsidR="006F646F">
              <w:rPr>
                <w:noProof/>
                <w:webHidden/>
              </w:rPr>
            </w:r>
            <w:r w:rsidR="006F646F">
              <w:rPr>
                <w:noProof/>
                <w:webHidden/>
              </w:rPr>
              <w:fldChar w:fldCharType="separate"/>
            </w:r>
            <w:r w:rsidR="006F646F">
              <w:rPr>
                <w:noProof/>
                <w:webHidden/>
              </w:rPr>
              <w:t>182</w:t>
            </w:r>
            <w:r w:rsidR="006F646F">
              <w:rPr>
                <w:noProof/>
                <w:webHidden/>
              </w:rPr>
              <w:fldChar w:fldCharType="end"/>
            </w:r>
          </w:hyperlink>
        </w:p>
        <w:p w14:paraId="56887258" w14:textId="77777777" w:rsidR="006F646F" w:rsidRDefault="00415FF3" w:rsidP="006F646F">
          <w:pPr>
            <w:pStyle w:val="TOC3"/>
            <w:rPr>
              <w:rFonts w:asciiTheme="minorHAnsi" w:eastAsiaTheme="minorEastAsia" w:hAnsiTheme="minorHAnsi"/>
              <w:noProof/>
              <w:szCs w:val="22"/>
            </w:rPr>
          </w:pPr>
          <w:hyperlink w:anchor="_Toc129256715" w:history="1">
            <w:r w:rsidR="006F646F" w:rsidRPr="00CC52AE">
              <w:rPr>
                <w:rStyle w:val="Hyperlink"/>
                <w:rFonts w:eastAsia="Times New Roman" w:cstheme="minorHAnsi"/>
                <w:b/>
                <w:bCs/>
                <w:noProof/>
              </w:rPr>
              <w:t>ii.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2000 and 2020 Landfill Franchise Agreement Intake Thresholds</w:t>
            </w:r>
            <w:r w:rsidR="006F646F">
              <w:rPr>
                <w:noProof/>
                <w:webHidden/>
              </w:rPr>
              <w:tab/>
            </w:r>
            <w:r w:rsidR="006F646F">
              <w:rPr>
                <w:noProof/>
                <w:webHidden/>
              </w:rPr>
              <w:fldChar w:fldCharType="begin"/>
            </w:r>
            <w:r w:rsidR="006F646F">
              <w:rPr>
                <w:noProof/>
                <w:webHidden/>
              </w:rPr>
              <w:instrText xml:space="preserve"> PAGEREF _Toc129256715 \h </w:instrText>
            </w:r>
            <w:r w:rsidR="006F646F">
              <w:rPr>
                <w:noProof/>
                <w:webHidden/>
              </w:rPr>
            </w:r>
            <w:r w:rsidR="006F646F">
              <w:rPr>
                <w:noProof/>
                <w:webHidden/>
              </w:rPr>
              <w:fldChar w:fldCharType="separate"/>
            </w:r>
            <w:r w:rsidR="006F646F">
              <w:rPr>
                <w:noProof/>
                <w:webHidden/>
              </w:rPr>
              <w:t>183</w:t>
            </w:r>
            <w:r w:rsidR="006F646F">
              <w:rPr>
                <w:noProof/>
                <w:webHidden/>
              </w:rPr>
              <w:fldChar w:fldCharType="end"/>
            </w:r>
          </w:hyperlink>
        </w:p>
        <w:p w14:paraId="4B9775E8" w14:textId="77777777" w:rsidR="006F646F" w:rsidRDefault="00415FF3" w:rsidP="006F646F">
          <w:pPr>
            <w:pStyle w:val="TOC3"/>
            <w:tabs>
              <w:tab w:val="left" w:pos="1440"/>
            </w:tabs>
            <w:rPr>
              <w:rFonts w:asciiTheme="minorHAnsi" w:eastAsiaTheme="minorEastAsia" w:hAnsiTheme="minorHAnsi"/>
              <w:noProof/>
              <w:szCs w:val="22"/>
            </w:rPr>
          </w:pPr>
          <w:hyperlink w:anchor="_Toc129256716" w:history="1">
            <w:r w:rsidR="006F646F" w:rsidRPr="00CC52AE">
              <w:rPr>
                <w:rStyle w:val="Hyperlink"/>
                <w:rFonts w:eastAsia="Times New Roman" w:cstheme="minorHAnsi"/>
                <w:b/>
                <w:bCs/>
                <w:noProof/>
              </w:rPr>
              <w:t>iii.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Recent intake volume: 1993 – 2021</w:t>
            </w:r>
            <w:r w:rsidR="006F646F">
              <w:rPr>
                <w:noProof/>
                <w:webHidden/>
              </w:rPr>
              <w:tab/>
            </w:r>
            <w:r w:rsidR="006F646F">
              <w:rPr>
                <w:noProof/>
                <w:webHidden/>
              </w:rPr>
              <w:fldChar w:fldCharType="begin"/>
            </w:r>
            <w:r w:rsidR="006F646F">
              <w:rPr>
                <w:noProof/>
                <w:webHidden/>
              </w:rPr>
              <w:instrText xml:space="preserve"> PAGEREF _Toc129256716 \h </w:instrText>
            </w:r>
            <w:r w:rsidR="006F646F">
              <w:rPr>
                <w:noProof/>
                <w:webHidden/>
              </w:rPr>
            </w:r>
            <w:r w:rsidR="006F646F">
              <w:rPr>
                <w:noProof/>
                <w:webHidden/>
              </w:rPr>
              <w:fldChar w:fldCharType="separate"/>
            </w:r>
            <w:r w:rsidR="006F646F">
              <w:rPr>
                <w:noProof/>
                <w:webHidden/>
              </w:rPr>
              <w:t>183</w:t>
            </w:r>
            <w:r w:rsidR="006F646F">
              <w:rPr>
                <w:noProof/>
                <w:webHidden/>
              </w:rPr>
              <w:fldChar w:fldCharType="end"/>
            </w:r>
          </w:hyperlink>
        </w:p>
        <w:p w14:paraId="0C931A41" w14:textId="77777777" w:rsidR="006F646F" w:rsidRDefault="00415FF3" w:rsidP="006F646F">
          <w:pPr>
            <w:pStyle w:val="TOC3"/>
            <w:tabs>
              <w:tab w:val="left" w:pos="1200"/>
            </w:tabs>
            <w:rPr>
              <w:rFonts w:asciiTheme="minorHAnsi" w:eastAsiaTheme="minorEastAsia" w:hAnsiTheme="minorHAnsi"/>
              <w:noProof/>
              <w:szCs w:val="22"/>
            </w:rPr>
          </w:pPr>
          <w:hyperlink w:anchor="_Toc129256717" w:history="1">
            <w:r w:rsidR="006F646F" w:rsidRPr="00CC52AE">
              <w:rPr>
                <w:rStyle w:val="Hyperlink"/>
                <w:rFonts w:eastAsia="Times New Roman" w:cstheme="minorHAnsi"/>
                <w:b/>
                <w:bCs/>
                <w:noProof/>
              </w:rPr>
              <w:t>iv.</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Comments/discussion:</w:t>
            </w:r>
            <w:r w:rsidR="006F646F">
              <w:rPr>
                <w:noProof/>
                <w:webHidden/>
              </w:rPr>
              <w:tab/>
            </w:r>
            <w:r w:rsidR="006F646F">
              <w:rPr>
                <w:noProof/>
                <w:webHidden/>
              </w:rPr>
              <w:fldChar w:fldCharType="begin"/>
            </w:r>
            <w:r w:rsidR="006F646F">
              <w:rPr>
                <w:noProof/>
                <w:webHidden/>
              </w:rPr>
              <w:instrText xml:space="preserve"> PAGEREF _Toc129256717 \h </w:instrText>
            </w:r>
            <w:r w:rsidR="006F646F">
              <w:rPr>
                <w:noProof/>
                <w:webHidden/>
              </w:rPr>
            </w:r>
            <w:r w:rsidR="006F646F">
              <w:rPr>
                <w:noProof/>
                <w:webHidden/>
              </w:rPr>
              <w:fldChar w:fldCharType="separate"/>
            </w:r>
            <w:r w:rsidR="006F646F">
              <w:rPr>
                <w:noProof/>
                <w:webHidden/>
              </w:rPr>
              <w:t>184</w:t>
            </w:r>
            <w:r w:rsidR="006F646F">
              <w:rPr>
                <w:noProof/>
                <w:webHidden/>
              </w:rPr>
              <w:fldChar w:fldCharType="end"/>
            </w:r>
          </w:hyperlink>
        </w:p>
        <w:p w14:paraId="0262E258" w14:textId="77777777" w:rsidR="006F646F" w:rsidRDefault="00415FF3" w:rsidP="006F646F">
          <w:pPr>
            <w:pStyle w:val="TOC3"/>
            <w:rPr>
              <w:rFonts w:asciiTheme="minorHAnsi" w:eastAsiaTheme="minorEastAsia" w:hAnsiTheme="minorHAnsi"/>
              <w:noProof/>
              <w:szCs w:val="22"/>
            </w:rPr>
          </w:pPr>
          <w:hyperlink w:anchor="_Toc129256718" w:history="1">
            <w:r w:rsidR="006F646F" w:rsidRPr="00CC52AE">
              <w:rPr>
                <w:rStyle w:val="Hyperlink"/>
                <w:rFonts w:eastAsia="Times New Roman" w:cstheme="minorHAnsi"/>
                <w:b/>
                <w:bCs/>
                <w:noProof/>
              </w:rPr>
              <w:t>v.</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Intake volume by source 2016 – 2021</w:t>
            </w:r>
            <w:r w:rsidR="006F646F">
              <w:rPr>
                <w:noProof/>
                <w:webHidden/>
              </w:rPr>
              <w:tab/>
            </w:r>
            <w:r w:rsidR="006F646F">
              <w:rPr>
                <w:noProof/>
                <w:webHidden/>
              </w:rPr>
              <w:fldChar w:fldCharType="begin"/>
            </w:r>
            <w:r w:rsidR="006F646F">
              <w:rPr>
                <w:noProof/>
                <w:webHidden/>
              </w:rPr>
              <w:instrText xml:space="preserve"> PAGEREF _Toc129256718 \h </w:instrText>
            </w:r>
            <w:r w:rsidR="006F646F">
              <w:rPr>
                <w:noProof/>
                <w:webHidden/>
              </w:rPr>
            </w:r>
            <w:r w:rsidR="006F646F">
              <w:rPr>
                <w:noProof/>
                <w:webHidden/>
              </w:rPr>
              <w:fldChar w:fldCharType="separate"/>
            </w:r>
            <w:r w:rsidR="006F646F">
              <w:rPr>
                <w:noProof/>
                <w:webHidden/>
              </w:rPr>
              <w:t>185</w:t>
            </w:r>
            <w:r w:rsidR="006F646F">
              <w:rPr>
                <w:noProof/>
                <w:webHidden/>
              </w:rPr>
              <w:fldChar w:fldCharType="end"/>
            </w:r>
          </w:hyperlink>
        </w:p>
        <w:p w14:paraId="2691FC53" w14:textId="77777777" w:rsidR="006F646F" w:rsidRDefault="00415FF3" w:rsidP="006F646F">
          <w:pPr>
            <w:pStyle w:val="TOC3"/>
            <w:rPr>
              <w:rFonts w:asciiTheme="minorHAnsi" w:eastAsiaTheme="minorEastAsia" w:hAnsiTheme="minorHAnsi"/>
              <w:noProof/>
              <w:szCs w:val="22"/>
            </w:rPr>
          </w:pPr>
          <w:hyperlink w:anchor="_Toc129256719" w:history="1">
            <w:r w:rsidR="006F646F" w:rsidRPr="00CC52AE">
              <w:rPr>
                <w:rStyle w:val="Hyperlink"/>
                <w:rFonts w:eastAsia="Times New Roman" w:cstheme="minorHAnsi"/>
                <w:b/>
                <w:bCs/>
                <w:noProof/>
              </w:rPr>
              <w:t>Long-term intake volume TBD – 2021</w:t>
            </w:r>
            <w:r w:rsidR="006F646F">
              <w:rPr>
                <w:noProof/>
                <w:webHidden/>
              </w:rPr>
              <w:tab/>
            </w:r>
            <w:r w:rsidR="006F646F">
              <w:rPr>
                <w:noProof/>
                <w:webHidden/>
              </w:rPr>
              <w:fldChar w:fldCharType="begin"/>
            </w:r>
            <w:r w:rsidR="006F646F">
              <w:rPr>
                <w:noProof/>
                <w:webHidden/>
              </w:rPr>
              <w:instrText xml:space="preserve"> PAGEREF _Toc129256719 \h </w:instrText>
            </w:r>
            <w:r w:rsidR="006F646F">
              <w:rPr>
                <w:noProof/>
                <w:webHidden/>
              </w:rPr>
            </w:r>
            <w:r w:rsidR="006F646F">
              <w:rPr>
                <w:noProof/>
                <w:webHidden/>
              </w:rPr>
              <w:fldChar w:fldCharType="separate"/>
            </w:r>
            <w:r w:rsidR="006F646F">
              <w:rPr>
                <w:noProof/>
                <w:webHidden/>
              </w:rPr>
              <w:t>186</w:t>
            </w:r>
            <w:r w:rsidR="006F646F">
              <w:rPr>
                <w:noProof/>
                <w:webHidden/>
              </w:rPr>
              <w:fldChar w:fldCharType="end"/>
            </w:r>
          </w:hyperlink>
        </w:p>
        <w:p w14:paraId="4989B207" w14:textId="77777777" w:rsidR="006F646F" w:rsidRDefault="00415FF3" w:rsidP="006F646F">
          <w:pPr>
            <w:pStyle w:val="TOC3"/>
            <w:rPr>
              <w:rFonts w:asciiTheme="minorHAnsi" w:eastAsiaTheme="minorEastAsia" w:hAnsiTheme="minorHAnsi"/>
              <w:noProof/>
              <w:szCs w:val="22"/>
            </w:rPr>
          </w:pPr>
          <w:hyperlink w:anchor="_Toc129256720" w:history="1">
            <w:r w:rsidR="006F646F" w:rsidRPr="00CC52AE">
              <w:rPr>
                <w:rStyle w:val="Hyperlink"/>
                <w:rFonts w:cstheme="minorHAnsi"/>
                <w:noProof/>
              </w:rPr>
              <w:t>O.</w:t>
            </w:r>
            <w:r w:rsidR="006F646F">
              <w:rPr>
                <w:rFonts w:asciiTheme="minorHAnsi" w:eastAsiaTheme="minorEastAsia" w:hAnsiTheme="minorHAnsi"/>
                <w:noProof/>
                <w:szCs w:val="22"/>
              </w:rPr>
              <w:tab/>
            </w:r>
            <w:r w:rsidR="006F646F" w:rsidRPr="00CC52AE">
              <w:rPr>
                <w:rStyle w:val="Hyperlink"/>
                <w:rFonts w:cstheme="minorHAnsi"/>
                <w:noProof/>
              </w:rPr>
              <w:t>Landfill Structure</w:t>
            </w:r>
            <w:r w:rsidR="006F646F">
              <w:rPr>
                <w:noProof/>
                <w:webHidden/>
              </w:rPr>
              <w:tab/>
            </w:r>
            <w:r w:rsidR="006F646F">
              <w:rPr>
                <w:noProof/>
                <w:webHidden/>
              </w:rPr>
              <w:fldChar w:fldCharType="begin"/>
            </w:r>
            <w:r w:rsidR="006F646F">
              <w:rPr>
                <w:noProof/>
                <w:webHidden/>
              </w:rPr>
              <w:instrText xml:space="preserve"> PAGEREF _Toc129256720 \h </w:instrText>
            </w:r>
            <w:r w:rsidR="006F646F">
              <w:rPr>
                <w:noProof/>
                <w:webHidden/>
              </w:rPr>
            </w:r>
            <w:r w:rsidR="006F646F">
              <w:rPr>
                <w:noProof/>
                <w:webHidden/>
              </w:rPr>
              <w:fldChar w:fldCharType="separate"/>
            </w:r>
            <w:r w:rsidR="006F646F">
              <w:rPr>
                <w:noProof/>
                <w:webHidden/>
              </w:rPr>
              <w:t>186</w:t>
            </w:r>
            <w:r w:rsidR="006F646F">
              <w:rPr>
                <w:noProof/>
                <w:webHidden/>
              </w:rPr>
              <w:fldChar w:fldCharType="end"/>
            </w:r>
          </w:hyperlink>
        </w:p>
        <w:p w14:paraId="427F9806" w14:textId="77777777" w:rsidR="006F646F" w:rsidRDefault="00415FF3" w:rsidP="006F646F">
          <w:pPr>
            <w:pStyle w:val="TOC3"/>
            <w:rPr>
              <w:rFonts w:asciiTheme="minorHAnsi" w:eastAsiaTheme="minorEastAsia" w:hAnsiTheme="minorHAnsi"/>
              <w:noProof/>
              <w:szCs w:val="22"/>
            </w:rPr>
          </w:pPr>
          <w:hyperlink w:anchor="_Toc129256721" w:history="1">
            <w:r w:rsidR="006F646F" w:rsidRPr="00CC52AE">
              <w:rPr>
                <w:rStyle w:val="Hyperlink"/>
                <w:rFonts w:eastAsia="Times New Roman" w:cstheme="minorHAnsi"/>
                <w:b/>
                <w:bCs/>
                <w:noProof/>
              </w:rPr>
              <w:t>v.</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Overview</w:t>
            </w:r>
            <w:r w:rsidR="006F646F">
              <w:rPr>
                <w:noProof/>
                <w:webHidden/>
              </w:rPr>
              <w:tab/>
            </w:r>
            <w:r w:rsidR="006F646F">
              <w:rPr>
                <w:noProof/>
                <w:webHidden/>
              </w:rPr>
              <w:fldChar w:fldCharType="begin"/>
            </w:r>
            <w:r w:rsidR="006F646F">
              <w:rPr>
                <w:noProof/>
                <w:webHidden/>
              </w:rPr>
              <w:instrText xml:space="preserve"> PAGEREF _Toc129256721 \h </w:instrText>
            </w:r>
            <w:r w:rsidR="006F646F">
              <w:rPr>
                <w:noProof/>
                <w:webHidden/>
              </w:rPr>
            </w:r>
            <w:r w:rsidR="006F646F">
              <w:rPr>
                <w:noProof/>
                <w:webHidden/>
              </w:rPr>
              <w:fldChar w:fldCharType="separate"/>
            </w:r>
            <w:r w:rsidR="006F646F">
              <w:rPr>
                <w:noProof/>
                <w:webHidden/>
              </w:rPr>
              <w:t>186</w:t>
            </w:r>
            <w:r w:rsidR="006F646F">
              <w:rPr>
                <w:noProof/>
                <w:webHidden/>
              </w:rPr>
              <w:fldChar w:fldCharType="end"/>
            </w:r>
          </w:hyperlink>
        </w:p>
        <w:p w14:paraId="33F80415" w14:textId="77777777" w:rsidR="006F646F" w:rsidRDefault="00415FF3" w:rsidP="006F646F">
          <w:pPr>
            <w:pStyle w:val="TOC3"/>
            <w:tabs>
              <w:tab w:val="left" w:pos="1200"/>
            </w:tabs>
            <w:rPr>
              <w:rFonts w:asciiTheme="minorHAnsi" w:eastAsiaTheme="minorEastAsia" w:hAnsiTheme="minorHAnsi"/>
              <w:noProof/>
              <w:szCs w:val="22"/>
            </w:rPr>
          </w:pPr>
          <w:hyperlink w:anchor="_Toc129256722" w:history="1">
            <w:r w:rsidR="006F646F" w:rsidRPr="00CC52AE">
              <w:rPr>
                <w:rStyle w:val="Hyperlink"/>
                <w:rFonts w:eastAsia="Times New Roman" w:cstheme="minorHAnsi"/>
                <w:b/>
                <w:bCs/>
                <w:noProof/>
              </w:rPr>
              <w:t>vi.</w:t>
            </w:r>
            <w:r w:rsidR="006F646F">
              <w:rPr>
                <w:rFonts w:asciiTheme="minorHAnsi" w:eastAsiaTheme="minorEastAsia" w:hAnsiTheme="minorHAnsi"/>
                <w:noProof/>
                <w:szCs w:val="22"/>
              </w:rPr>
              <w:tab/>
            </w:r>
            <w:r w:rsidR="006F646F" w:rsidRPr="00CC52AE">
              <w:rPr>
                <w:rStyle w:val="Hyperlink"/>
                <w:rFonts w:eastAsia="Times New Roman" w:cstheme="minorHAnsi"/>
                <w:b/>
                <w:bCs/>
                <w:noProof/>
              </w:rPr>
              <w:t>Cell detail</w:t>
            </w:r>
            <w:r w:rsidR="006F646F">
              <w:rPr>
                <w:noProof/>
                <w:webHidden/>
              </w:rPr>
              <w:tab/>
            </w:r>
            <w:r w:rsidR="006F646F">
              <w:rPr>
                <w:noProof/>
                <w:webHidden/>
              </w:rPr>
              <w:fldChar w:fldCharType="begin"/>
            </w:r>
            <w:r w:rsidR="006F646F">
              <w:rPr>
                <w:noProof/>
                <w:webHidden/>
              </w:rPr>
              <w:instrText xml:space="preserve"> PAGEREF _Toc129256722 \h </w:instrText>
            </w:r>
            <w:r w:rsidR="006F646F">
              <w:rPr>
                <w:noProof/>
                <w:webHidden/>
              </w:rPr>
            </w:r>
            <w:r w:rsidR="006F646F">
              <w:rPr>
                <w:noProof/>
                <w:webHidden/>
              </w:rPr>
              <w:fldChar w:fldCharType="separate"/>
            </w:r>
            <w:r w:rsidR="006F646F">
              <w:rPr>
                <w:noProof/>
                <w:webHidden/>
              </w:rPr>
              <w:t>187</w:t>
            </w:r>
            <w:r w:rsidR="006F646F">
              <w:rPr>
                <w:noProof/>
                <w:webHidden/>
              </w:rPr>
              <w:fldChar w:fldCharType="end"/>
            </w:r>
          </w:hyperlink>
        </w:p>
        <w:p w14:paraId="4CC174AB"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23" w:history="1">
            <w:r w:rsidR="006F646F" w:rsidRPr="00CC52AE">
              <w:rPr>
                <w:rStyle w:val="Hyperlink"/>
                <w:rFonts w:cstheme="minorHAnsi"/>
                <w:noProof/>
              </w:rPr>
              <w:t>Section 2: Specific Locations</w:t>
            </w:r>
            <w:r w:rsidR="006F646F">
              <w:rPr>
                <w:noProof/>
                <w:webHidden/>
              </w:rPr>
              <w:tab/>
            </w:r>
            <w:r w:rsidR="006F646F">
              <w:rPr>
                <w:noProof/>
                <w:webHidden/>
              </w:rPr>
              <w:fldChar w:fldCharType="begin"/>
            </w:r>
            <w:r w:rsidR="006F646F">
              <w:rPr>
                <w:noProof/>
                <w:webHidden/>
              </w:rPr>
              <w:instrText xml:space="preserve"> PAGEREF _Toc129256723 \h </w:instrText>
            </w:r>
            <w:r w:rsidR="006F646F">
              <w:rPr>
                <w:noProof/>
                <w:webHidden/>
              </w:rPr>
            </w:r>
            <w:r w:rsidR="006F646F">
              <w:rPr>
                <w:noProof/>
                <w:webHidden/>
              </w:rPr>
              <w:fldChar w:fldCharType="separate"/>
            </w:r>
            <w:r w:rsidR="006F646F">
              <w:rPr>
                <w:noProof/>
                <w:webHidden/>
              </w:rPr>
              <w:t>190</w:t>
            </w:r>
            <w:r w:rsidR="006F646F">
              <w:rPr>
                <w:noProof/>
                <w:webHidden/>
              </w:rPr>
              <w:fldChar w:fldCharType="end"/>
            </w:r>
          </w:hyperlink>
        </w:p>
        <w:p w14:paraId="34A59233" w14:textId="77777777" w:rsidR="006F646F" w:rsidRDefault="00415FF3" w:rsidP="006F646F">
          <w:pPr>
            <w:pStyle w:val="TOC3"/>
            <w:rPr>
              <w:rFonts w:asciiTheme="minorHAnsi" w:eastAsiaTheme="minorEastAsia" w:hAnsiTheme="minorHAnsi"/>
              <w:noProof/>
              <w:szCs w:val="22"/>
            </w:rPr>
          </w:pPr>
          <w:hyperlink w:anchor="_Toc129256724" w:history="1">
            <w:r w:rsidR="006F646F" w:rsidRPr="00CC52AE">
              <w:rPr>
                <w:rStyle w:val="Hyperlink"/>
                <w:rFonts w:cstheme="minorHAnsi"/>
                <w:noProof/>
              </w:rPr>
              <w:t>A.</w:t>
            </w:r>
            <w:r w:rsidR="006F646F">
              <w:rPr>
                <w:rFonts w:asciiTheme="minorHAnsi" w:eastAsiaTheme="minorEastAsia" w:hAnsiTheme="minorHAnsi"/>
                <w:noProof/>
                <w:szCs w:val="22"/>
              </w:rPr>
              <w:tab/>
            </w:r>
            <w:r w:rsidR="006F646F" w:rsidRPr="00CC52AE">
              <w:rPr>
                <w:rStyle w:val="Hyperlink"/>
                <w:rFonts w:cstheme="minorHAnsi"/>
                <w:noProof/>
              </w:rPr>
              <w:t>1983 Rezoning Action</w:t>
            </w:r>
            <w:r w:rsidR="006F646F">
              <w:rPr>
                <w:noProof/>
                <w:webHidden/>
              </w:rPr>
              <w:tab/>
            </w:r>
            <w:r w:rsidR="006F646F">
              <w:rPr>
                <w:noProof/>
                <w:webHidden/>
              </w:rPr>
              <w:fldChar w:fldCharType="begin"/>
            </w:r>
            <w:r w:rsidR="006F646F">
              <w:rPr>
                <w:noProof/>
                <w:webHidden/>
              </w:rPr>
              <w:instrText xml:space="preserve"> PAGEREF _Toc129256724 \h </w:instrText>
            </w:r>
            <w:r w:rsidR="006F646F">
              <w:rPr>
                <w:noProof/>
                <w:webHidden/>
              </w:rPr>
            </w:r>
            <w:r w:rsidR="006F646F">
              <w:rPr>
                <w:noProof/>
                <w:webHidden/>
              </w:rPr>
              <w:fldChar w:fldCharType="separate"/>
            </w:r>
            <w:r w:rsidR="006F646F">
              <w:rPr>
                <w:noProof/>
                <w:webHidden/>
              </w:rPr>
              <w:t>190</w:t>
            </w:r>
            <w:r w:rsidR="006F646F">
              <w:rPr>
                <w:noProof/>
                <w:webHidden/>
              </w:rPr>
              <w:fldChar w:fldCharType="end"/>
            </w:r>
          </w:hyperlink>
        </w:p>
        <w:p w14:paraId="4EE66C58" w14:textId="77777777" w:rsidR="006F646F" w:rsidRDefault="00415FF3" w:rsidP="006F646F">
          <w:pPr>
            <w:pStyle w:val="TOC3"/>
            <w:rPr>
              <w:rFonts w:asciiTheme="minorHAnsi" w:eastAsiaTheme="minorEastAsia" w:hAnsiTheme="minorHAnsi"/>
              <w:noProof/>
              <w:szCs w:val="22"/>
            </w:rPr>
          </w:pPr>
          <w:hyperlink w:anchor="_Toc129256725" w:history="1">
            <w:r w:rsidR="006F646F" w:rsidRPr="00CC52AE">
              <w:rPr>
                <w:rStyle w:val="Hyperlink"/>
                <w:rFonts w:cstheme="minorHAnsi"/>
                <w:noProof/>
              </w:rPr>
              <w:t>B.</w:t>
            </w:r>
            <w:r w:rsidR="006F646F">
              <w:rPr>
                <w:rFonts w:asciiTheme="minorHAnsi" w:eastAsiaTheme="minorEastAsia" w:hAnsiTheme="minorHAnsi"/>
                <w:noProof/>
                <w:szCs w:val="22"/>
              </w:rPr>
              <w:tab/>
            </w:r>
            <w:r w:rsidR="006F646F" w:rsidRPr="00CC52AE">
              <w:rPr>
                <w:rStyle w:val="Hyperlink"/>
                <w:rFonts w:cstheme="minorHAnsi"/>
                <w:noProof/>
              </w:rPr>
              <w:t>West and East Triangle Additions</w:t>
            </w:r>
            <w:r w:rsidR="006F646F">
              <w:rPr>
                <w:noProof/>
                <w:webHidden/>
              </w:rPr>
              <w:tab/>
            </w:r>
            <w:r w:rsidR="006F646F">
              <w:rPr>
                <w:noProof/>
                <w:webHidden/>
              </w:rPr>
              <w:fldChar w:fldCharType="begin"/>
            </w:r>
            <w:r w:rsidR="006F646F">
              <w:rPr>
                <w:noProof/>
                <w:webHidden/>
              </w:rPr>
              <w:instrText xml:space="preserve"> PAGEREF _Toc129256725 \h </w:instrText>
            </w:r>
            <w:r w:rsidR="006F646F">
              <w:rPr>
                <w:noProof/>
                <w:webHidden/>
              </w:rPr>
            </w:r>
            <w:r w:rsidR="006F646F">
              <w:rPr>
                <w:noProof/>
                <w:webHidden/>
              </w:rPr>
              <w:fldChar w:fldCharType="separate"/>
            </w:r>
            <w:r w:rsidR="006F646F">
              <w:rPr>
                <w:noProof/>
                <w:webHidden/>
              </w:rPr>
              <w:t>192</w:t>
            </w:r>
            <w:r w:rsidR="006F646F">
              <w:rPr>
                <w:noProof/>
                <w:webHidden/>
              </w:rPr>
              <w:fldChar w:fldCharType="end"/>
            </w:r>
          </w:hyperlink>
        </w:p>
        <w:p w14:paraId="78D7402F" w14:textId="77777777" w:rsidR="006F646F" w:rsidRDefault="00415FF3" w:rsidP="006F646F">
          <w:pPr>
            <w:pStyle w:val="TOC3"/>
            <w:rPr>
              <w:rFonts w:asciiTheme="minorHAnsi" w:eastAsiaTheme="minorEastAsia" w:hAnsiTheme="minorHAnsi"/>
              <w:noProof/>
              <w:szCs w:val="22"/>
            </w:rPr>
          </w:pPr>
          <w:hyperlink w:anchor="_Toc129256726" w:history="1">
            <w:r w:rsidR="006F646F" w:rsidRPr="00CC52AE">
              <w:rPr>
                <w:rStyle w:val="Hyperlink"/>
                <w:rFonts w:cstheme="minorHAnsi"/>
                <w:noProof/>
              </w:rPr>
              <w:t>C.</w:t>
            </w:r>
            <w:r w:rsidR="006F646F">
              <w:rPr>
                <w:rFonts w:asciiTheme="minorHAnsi" w:eastAsiaTheme="minorEastAsia" w:hAnsiTheme="minorHAnsi"/>
                <w:noProof/>
                <w:szCs w:val="22"/>
              </w:rPr>
              <w:tab/>
            </w:r>
            <w:r w:rsidR="006F646F" w:rsidRPr="00CC52AE">
              <w:rPr>
                <w:rStyle w:val="Hyperlink"/>
                <w:rFonts w:cstheme="minorHAnsi"/>
                <w:noProof/>
              </w:rPr>
              <w:t>Cell 6 (Quarry) Addition</w:t>
            </w:r>
            <w:r w:rsidR="006F646F">
              <w:rPr>
                <w:noProof/>
                <w:webHidden/>
              </w:rPr>
              <w:tab/>
            </w:r>
            <w:r w:rsidR="006F646F">
              <w:rPr>
                <w:noProof/>
                <w:webHidden/>
              </w:rPr>
              <w:fldChar w:fldCharType="begin"/>
            </w:r>
            <w:r w:rsidR="006F646F">
              <w:rPr>
                <w:noProof/>
                <w:webHidden/>
              </w:rPr>
              <w:instrText xml:space="preserve"> PAGEREF _Toc129256726 \h </w:instrText>
            </w:r>
            <w:r w:rsidR="006F646F">
              <w:rPr>
                <w:noProof/>
                <w:webHidden/>
              </w:rPr>
            </w:r>
            <w:r w:rsidR="006F646F">
              <w:rPr>
                <w:noProof/>
                <w:webHidden/>
              </w:rPr>
              <w:fldChar w:fldCharType="separate"/>
            </w:r>
            <w:r w:rsidR="006F646F">
              <w:rPr>
                <w:noProof/>
                <w:webHidden/>
              </w:rPr>
              <w:t>193</w:t>
            </w:r>
            <w:r w:rsidR="006F646F">
              <w:rPr>
                <w:noProof/>
                <w:webHidden/>
              </w:rPr>
              <w:fldChar w:fldCharType="end"/>
            </w:r>
          </w:hyperlink>
        </w:p>
        <w:p w14:paraId="74C65191" w14:textId="77777777" w:rsidR="006F646F" w:rsidRDefault="00415FF3" w:rsidP="006F646F">
          <w:pPr>
            <w:pStyle w:val="TOC3"/>
            <w:rPr>
              <w:rFonts w:asciiTheme="minorHAnsi" w:eastAsiaTheme="minorEastAsia" w:hAnsiTheme="minorHAnsi"/>
              <w:noProof/>
              <w:szCs w:val="22"/>
            </w:rPr>
          </w:pPr>
          <w:hyperlink w:anchor="_Toc129256727" w:history="1">
            <w:r w:rsidR="006F646F" w:rsidRPr="00CC52AE">
              <w:rPr>
                <w:rStyle w:val="Hyperlink"/>
                <w:rFonts w:cstheme="minorHAnsi"/>
                <w:noProof/>
              </w:rPr>
              <w:t>D.</w:t>
            </w:r>
            <w:r w:rsidR="006F646F">
              <w:rPr>
                <w:rFonts w:asciiTheme="minorHAnsi" w:eastAsiaTheme="minorEastAsia" w:hAnsiTheme="minorHAnsi"/>
                <w:noProof/>
                <w:szCs w:val="22"/>
              </w:rPr>
              <w:tab/>
            </w:r>
            <w:r w:rsidR="006F646F" w:rsidRPr="00CC52AE">
              <w:rPr>
                <w:rStyle w:val="Hyperlink"/>
                <w:rFonts w:cstheme="minorHAnsi"/>
                <w:noProof/>
              </w:rPr>
              <w:t>LS Zone Parcel South of Coffin Butte Road</w:t>
            </w:r>
            <w:r w:rsidR="006F646F">
              <w:rPr>
                <w:noProof/>
                <w:webHidden/>
              </w:rPr>
              <w:tab/>
            </w:r>
            <w:r w:rsidR="006F646F">
              <w:rPr>
                <w:noProof/>
                <w:webHidden/>
              </w:rPr>
              <w:fldChar w:fldCharType="begin"/>
            </w:r>
            <w:r w:rsidR="006F646F">
              <w:rPr>
                <w:noProof/>
                <w:webHidden/>
              </w:rPr>
              <w:instrText xml:space="preserve"> PAGEREF _Toc129256727 \h </w:instrText>
            </w:r>
            <w:r w:rsidR="006F646F">
              <w:rPr>
                <w:noProof/>
                <w:webHidden/>
              </w:rPr>
            </w:r>
            <w:r w:rsidR="006F646F">
              <w:rPr>
                <w:noProof/>
                <w:webHidden/>
              </w:rPr>
              <w:fldChar w:fldCharType="separate"/>
            </w:r>
            <w:r w:rsidR="006F646F">
              <w:rPr>
                <w:noProof/>
                <w:webHidden/>
              </w:rPr>
              <w:t>193</w:t>
            </w:r>
            <w:r w:rsidR="006F646F">
              <w:rPr>
                <w:noProof/>
                <w:webHidden/>
              </w:rPr>
              <w:fldChar w:fldCharType="end"/>
            </w:r>
          </w:hyperlink>
        </w:p>
        <w:p w14:paraId="773429AC"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28" w:history="1">
            <w:r w:rsidR="006F646F" w:rsidRPr="00CC52AE">
              <w:rPr>
                <w:rStyle w:val="Hyperlink"/>
                <w:rFonts w:cstheme="minorHAnsi"/>
                <w:noProof/>
              </w:rPr>
              <w:t>Section 3: Landfill Life Projections</w:t>
            </w:r>
            <w:r w:rsidR="006F646F">
              <w:rPr>
                <w:noProof/>
                <w:webHidden/>
              </w:rPr>
              <w:tab/>
            </w:r>
            <w:r w:rsidR="006F646F">
              <w:rPr>
                <w:noProof/>
                <w:webHidden/>
              </w:rPr>
              <w:fldChar w:fldCharType="begin"/>
            </w:r>
            <w:r w:rsidR="006F646F">
              <w:rPr>
                <w:noProof/>
                <w:webHidden/>
              </w:rPr>
              <w:instrText xml:space="preserve"> PAGEREF _Toc129256728 \h </w:instrText>
            </w:r>
            <w:r w:rsidR="006F646F">
              <w:rPr>
                <w:noProof/>
                <w:webHidden/>
              </w:rPr>
            </w:r>
            <w:r w:rsidR="006F646F">
              <w:rPr>
                <w:noProof/>
                <w:webHidden/>
              </w:rPr>
              <w:fldChar w:fldCharType="separate"/>
            </w:r>
            <w:r w:rsidR="006F646F">
              <w:rPr>
                <w:noProof/>
                <w:webHidden/>
              </w:rPr>
              <w:t>195</w:t>
            </w:r>
            <w:r w:rsidR="006F646F">
              <w:rPr>
                <w:noProof/>
                <w:webHidden/>
              </w:rPr>
              <w:fldChar w:fldCharType="end"/>
            </w:r>
          </w:hyperlink>
        </w:p>
        <w:p w14:paraId="272FB162" w14:textId="77777777" w:rsidR="006F646F" w:rsidRDefault="00415FF3" w:rsidP="006F646F">
          <w:pPr>
            <w:pStyle w:val="TOC3"/>
            <w:rPr>
              <w:rFonts w:asciiTheme="minorHAnsi" w:eastAsiaTheme="minorEastAsia" w:hAnsiTheme="minorHAnsi"/>
              <w:noProof/>
              <w:szCs w:val="22"/>
            </w:rPr>
          </w:pPr>
          <w:hyperlink w:anchor="_Toc129256729" w:history="1">
            <w:r w:rsidR="006F646F" w:rsidRPr="00CC52AE">
              <w:rPr>
                <w:rStyle w:val="Hyperlink"/>
                <w:rFonts w:cstheme="minorHAnsi"/>
                <w:noProof/>
              </w:rPr>
              <w:t>A.</w:t>
            </w:r>
            <w:r w:rsidR="006F646F">
              <w:rPr>
                <w:rFonts w:asciiTheme="minorHAnsi" w:eastAsiaTheme="minorEastAsia" w:hAnsiTheme="minorHAnsi"/>
                <w:noProof/>
                <w:szCs w:val="22"/>
              </w:rPr>
              <w:tab/>
            </w:r>
            <w:r w:rsidR="006F646F" w:rsidRPr="00CC52AE">
              <w:rPr>
                <w:rStyle w:val="Hyperlink"/>
                <w:rFonts w:eastAsia="Calibri" w:cstheme="minorHAnsi"/>
                <w:noProof/>
              </w:rPr>
              <w:t>Waste in Place</w:t>
            </w:r>
            <w:r w:rsidR="006F646F" w:rsidRPr="00CC52AE">
              <w:rPr>
                <w:rStyle w:val="Hyperlink"/>
                <w:rFonts w:cstheme="minorHAnsi"/>
                <w:noProof/>
              </w:rPr>
              <w:t>: Projection to End 2022</w:t>
            </w:r>
            <w:r w:rsidR="006F646F">
              <w:rPr>
                <w:noProof/>
                <w:webHidden/>
              </w:rPr>
              <w:tab/>
            </w:r>
            <w:r w:rsidR="006F646F">
              <w:rPr>
                <w:noProof/>
                <w:webHidden/>
              </w:rPr>
              <w:fldChar w:fldCharType="begin"/>
            </w:r>
            <w:r w:rsidR="006F646F">
              <w:rPr>
                <w:noProof/>
                <w:webHidden/>
              </w:rPr>
              <w:instrText xml:space="preserve"> PAGEREF _Toc129256729 \h </w:instrText>
            </w:r>
            <w:r w:rsidR="006F646F">
              <w:rPr>
                <w:noProof/>
                <w:webHidden/>
              </w:rPr>
            </w:r>
            <w:r w:rsidR="006F646F">
              <w:rPr>
                <w:noProof/>
                <w:webHidden/>
              </w:rPr>
              <w:fldChar w:fldCharType="separate"/>
            </w:r>
            <w:r w:rsidR="006F646F">
              <w:rPr>
                <w:noProof/>
                <w:webHidden/>
              </w:rPr>
              <w:t>195</w:t>
            </w:r>
            <w:r w:rsidR="006F646F">
              <w:rPr>
                <w:noProof/>
                <w:webHidden/>
              </w:rPr>
              <w:fldChar w:fldCharType="end"/>
            </w:r>
          </w:hyperlink>
        </w:p>
        <w:p w14:paraId="6BB4C6DA" w14:textId="77777777" w:rsidR="006F646F" w:rsidRDefault="00415FF3" w:rsidP="006F646F">
          <w:pPr>
            <w:pStyle w:val="TOC3"/>
            <w:rPr>
              <w:rFonts w:asciiTheme="minorHAnsi" w:eastAsiaTheme="minorEastAsia" w:hAnsiTheme="minorHAnsi"/>
              <w:noProof/>
              <w:szCs w:val="22"/>
            </w:rPr>
          </w:pPr>
          <w:hyperlink w:anchor="_Toc129256730" w:history="1">
            <w:r w:rsidR="006F646F" w:rsidRPr="00CC52AE">
              <w:rPr>
                <w:rStyle w:val="Hyperlink"/>
                <w:rFonts w:cstheme="minorHAnsi"/>
                <w:noProof/>
              </w:rPr>
              <w:t>B.</w:t>
            </w:r>
            <w:r w:rsidR="006F646F">
              <w:rPr>
                <w:rFonts w:asciiTheme="minorHAnsi" w:eastAsiaTheme="minorEastAsia" w:hAnsiTheme="minorHAnsi"/>
                <w:noProof/>
                <w:szCs w:val="22"/>
              </w:rPr>
              <w:tab/>
            </w:r>
            <w:r w:rsidR="006F646F" w:rsidRPr="00CC52AE">
              <w:rPr>
                <w:rStyle w:val="Hyperlink"/>
                <w:rFonts w:cstheme="minorHAnsi"/>
                <w:noProof/>
              </w:rPr>
              <w:t>Historical Landfill Life Projections</w:t>
            </w:r>
            <w:r w:rsidR="006F646F">
              <w:rPr>
                <w:noProof/>
                <w:webHidden/>
              </w:rPr>
              <w:tab/>
            </w:r>
            <w:r w:rsidR="006F646F">
              <w:rPr>
                <w:noProof/>
                <w:webHidden/>
              </w:rPr>
              <w:fldChar w:fldCharType="begin"/>
            </w:r>
            <w:r w:rsidR="006F646F">
              <w:rPr>
                <w:noProof/>
                <w:webHidden/>
              </w:rPr>
              <w:instrText xml:space="preserve"> PAGEREF _Toc129256730 \h </w:instrText>
            </w:r>
            <w:r w:rsidR="006F646F">
              <w:rPr>
                <w:noProof/>
                <w:webHidden/>
              </w:rPr>
            </w:r>
            <w:r w:rsidR="006F646F">
              <w:rPr>
                <w:noProof/>
                <w:webHidden/>
              </w:rPr>
              <w:fldChar w:fldCharType="separate"/>
            </w:r>
            <w:r w:rsidR="006F646F">
              <w:rPr>
                <w:noProof/>
                <w:webHidden/>
              </w:rPr>
              <w:t>195</w:t>
            </w:r>
            <w:r w:rsidR="006F646F">
              <w:rPr>
                <w:noProof/>
                <w:webHidden/>
              </w:rPr>
              <w:fldChar w:fldCharType="end"/>
            </w:r>
          </w:hyperlink>
        </w:p>
        <w:p w14:paraId="113D99A0" w14:textId="77777777" w:rsidR="006F646F" w:rsidRDefault="00415FF3" w:rsidP="006F646F">
          <w:pPr>
            <w:pStyle w:val="TOC3"/>
            <w:rPr>
              <w:rFonts w:asciiTheme="minorHAnsi" w:eastAsiaTheme="minorEastAsia" w:hAnsiTheme="minorHAnsi"/>
              <w:noProof/>
              <w:szCs w:val="22"/>
            </w:rPr>
          </w:pPr>
          <w:hyperlink w:anchor="_Toc129256731" w:history="1">
            <w:r w:rsidR="006F646F" w:rsidRPr="00CC52AE">
              <w:rPr>
                <w:rStyle w:val="Hyperlink"/>
                <w:rFonts w:cstheme="minorHAnsi"/>
                <w:noProof/>
              </w:rPr>
              <w:t>C.</w:t>
            </w:r>
            <w:r w:rsidR="006F646F">
              <w:rPr>
                <w:rFonts w:asciiTheme="minorHAnsi" w:eastAsiaTheme="minorEastAsia" w:hAnsiTheme="minorHAnsi"/>
                <w:noProof/>
                <w:szCs w:val="22"/>
              </w:rPr>
              <w:tab/>
            </w:r>
            <w:r w:rsidR="006F646F" w:rsidRPr="00CC52AE">
              <w:rPr>
                <w:rStyle w:val="Hyperlink"/>
                <w:rFonts w:cstheme="minorHAnsi"/>
                <w:noProof/>
              </w:rPr>
              <w:t>Coffin Butte Site Life Projection: 2023 to closure</w:t>
            </w:r>
            <w:r w:rsidR="006F646F">
              <w:rPr>
                <w:noProof/>
                <w:webHidden/>
              </w:rPr>
              <w:tab/>
            </w:r>
            <w:r w:rsidR="006F646F">
              <w:rPr>
                <w:noProof/>
                <w:webHidden/>
              </w:rPr>
              <w:fldChar w:fldCharType="begin"/>
            </w:r>
            <w:r w:rsidR="006F646F">
              <w:rPr>
                <w:noProof/>
                <w:webHidden/>
              </w:rPr>
              <w:instrText xml:space="preserve"> PAGEREF _Toc129256731 \h </w:instrText>
            </w:r>
            <w:r w:rsidR="006F646F">
              <w:rPr>
                <w:noProof/>
                <w:webHidden/>
              </w:rPr>
            </w:r>
            <w:r w:rsidR="006F646F">
              <w:rPr>
                <w:noProof/>
                <w:webHidden/>
              </w:rPr>
              <w:fldChar w:fldCharType="separate"/>
            </w:r>
            <w:r w:rsidR="006F646F">
              <w:rPr>
                <w:noProof/>
                <w:webHidden/>
              </w:rPr>
              <w:t>198</w:t>
            </w:r>
            <w:r w:rsidR="006F646F">
              <w:rPr>
                <w:noProof/>
                <w:webHidden/>
              </w:rPr>
              <w:fldChar w:fldCharType="end"/>
            </w:r>
          </w:hyperlink>
        </w:p>
        <w:p w14:paraId="033B4F7E" w14:textId="77777777" w:rsidR="006F646F" w:rsidRDefault="00415FF3" w:rsidP="006F646F">
          <w:pPr>
            <w:pStyle w:val="TOC3"/>
            <w:rPr>
              <w:rFonts w:asciiTheme="minorHAnsi" w:eastAsiaTheme="minorEastAsia" w:hAnsiTheme="minorHAnsi"/>
              <w:noProof/>
              <w:szCs w:val="22"/>
            </w:rPr>
          </w:pPr>
          <w:hyperlink w:anchor="_Toc129256732" w:history="1">
            <w:r w:rsidR="006F646F" w:rsidRPr="00CC52AE">
              <w:rPr>
                <w:rStyle w:val="Hyperlink"/>
                <w:rFonts w:eastAsia="Calibri" w:cstheme="minorHAnsi"/>
                <w:noProof/>
              </w:rPr>
              <w:t>D.</w:t>
            </w:r>
            <w:r w:rsidR="006F646F">
              <w:rPr>
                <w:rFonts w:asciiTheme="minorHAnsi" w:eastAsiaTheme="minorEastAsia" w:hAnsiTheme="minorHAnsi"/>
                <w:noProof/>
                <w:szCs w:val="22"/>
              </w:rPr>
              <w:tab/>
            </w:r>
            <w:r w:rsidR="006F646F" w:rsidRPr="00CC52AE">
              <w:rPr>
                <w:rStyle w:val="Hyperlink"/>
                <w:rFonts w:eastAsia="Calibri" w:cstheme="minorHAnsi"/>
                <w:noProof/>
              </w:rPr>
              <w:t>Events and Factors that could impact life</w:t>
            </w:r>
            <w:r w:rsidR="006F646F">
              <w:rPr>
                <w:noProof/>
                <w:webHidden/>
              </w:rPr>
              <w:tab/>
            </w:r>
            <w:r w:rsidR="006F646F">
              <w:rPr>
                <w:noProof/>
                <w:webHidden/>
              </w:rPr>
              <w:fldChar w:fldCharType="begin"/>
            </w:r>
            <w:r w:rsidR="006F646F">
              <w:rPr>
                <w:noProof/>
                <w:webHidden/>
              </w:rPr>
              <w:instrText xml:space="preserve"> PAGEREF _Toc129256732 \h </w:instrText>
            </w:r>
            <w:r w:rsidR="006F646F">
              <w:rPr>
                <w:noProof/>
                <w:webHidden/>
              </w:rPr>
            </w:r>
            <w:r w:rsidR="006F646F">
              <w:rPr>
                <w:noProof/>
                <w:webHidden/>
              </w:rPr>
              <w:fldChar w:fldCharType="separate"/>
            </w:r>
            <w:r w:rsidR="006F646F">
              <w:rPr>
                <w:noProof/>
                <w:webHidden/>
              </w:rPr>
              <w:t>200</w:t>
            </w:r>
            <w:r w:rsidR="006F646F">
              <w:rPr>
                <w:noProof/>
                <w:webHidden/>
              </w:rPr>
              <w:fldChar w:fldCharType="end"/>
            </w:r>
          </w:hyperlink>
        </w:p>
        <w:p w14:paraId="15654960" w14:textId="77777777" w:rsidR="006F646F" w:rsidRDefault="00415FF3" w:rsidP="006F646F">
          <w:pPr>
            <w:pStyle w:val="TOC3"/>
            <w:rPr>
              <w:rFonts w:asciiTheme="minorHAnsi" w:eastAsiaTheme="minorEastAsia" w:hAnsiTheme="minorHAnsi"/>
              <w:noProof/>
              <w:szCs w:val="22"/>
            </w:rPr>
          </w:pPr>
          <w:hyperlink w:anchor="_Toc129256733" w:history="1">
            <w:r w:rsidR="006F646F" w:rsidRPr="00CC52AE">
              <w:rPr>
                <w:rStyle w:val="Hyperlink"/>
                <w:rFonts w:ascii="Calibri" w:eastAsia="Palatino Linotype" w:hAnsi="Calibri" w:cs="Calibri"/>
                <w:i/>
                <w:noProof/>
              </w:rPr>
              <w:t>A.</w:t>
            </w:r>
            <w:r w:rsidR="006F646F">
              <w:rPr>
                <w:rFonts w:asciiTheme="minorHAnsi" w:eastAsiaTheme="minorEastAsia" w:hAnsiTheme="minorHAnsi"/>
                <w:noProof/>
                <w:szCs w:val="22"/>
              </w:rPr>
              <w:tab/>
            </w:r>
            <w:r w:rsidR="006F646F" w:rsidRPr="00CC52AE">
              <w:rPr>
                <w:rStyle w:val="Hyperlink"/>
                <w:rFonts w:ascii="Calibri" w:hAnsi="Calibri" w:cs="Calibri"/>
                <w:noProof/>
              </w:rPr>
              <w:t>Coffin Butte Landfill: What factors could make the landfill close earlier than the Baseline Scenario(s)?</w:t>
            </w:r>
            <w:r w:rsidR="006F646F">
              <w:rPr>
                <w:noProof/>
                <w:webHidden/>
              </w:rPr>
              <w:tab/>
            </w:r>
            <w:r w:rsidR="006F646F">
              <w:rPr>
                <w:noProof/>
                <w:webHidden/>
              </w:rPr>
              <w:fldChar w:fldCharType="begin"/>
            </w:r>
            <w:r w:rsidR="006F646F">
              <w:rPr>
                <w:noProof/>
                <w:webHidden/>
              </w:rPr>
              <w:instrText xml:space="preserve"> PAGEREF _Toc129256733 \h </w:instrText>
            </w:r>
            <w:r w:rsidR="006F646F">
              <w:rPr>
                <w:noProof/>
                <w:webHidden/>
              </w:rPr>
            </w:r>
            <w:r w:rsidR="006F646F">
              <w:rPr>
                <w:noProof/>
                <w:webHidden/>
              </w:rPr>
              <w:fldChar w:fldCharType="separate"/>
            </w:r>
            <w:r w:rsidR="006F646F">
              <w:rPr>
                <w:noProof/>
                <w:webHidden/>
              </w:rPr>
              <w:t>210</w:t>
            </w:r>
            <w:r w:rsidR="006F646F">
              <w:rPr>
                <w:noProof/>
                <w:webHidden/>
              </w:rPr>
              <w:fldChar w:fldCharType="end"/>
            </w:r>
          </w:hyperlink>
        </w:p>
        <w:p w14:paraId="69BCAEFB"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34" w:history="1">
            <w:r w:rsidR="006F646F" w:rsidRPr="00CC52AE">
              <w:rPr>
                <w:rStyle w:val="Hyperlink"/>
                <w:rFonts w:ascii="Calibri" w:eastAsia="Times New Roman" w:hAnsi="Calibri" w:cs="Calibri"/>
                <w:noProof/>
              </w:rPr>
              <w:t>Appendix A: Intake Tonnage and Capacity Data</w:t>
            </w:r>
            <w:r w:rsidR="006F646F">
              <w:rPr>
                <w:noProof/>
                <w:webHidden/>
              </w:rPr>
              <w:tab/>
            </w:r>
            <w:r w:rsidR="006F646F">
              <w:rPr>
                <w:noProof/>
                <w:webHidden/>
              </w:rPr>
              <w:fldChar w:fldCharType="begin"/>
            </w:r>
            <w:r w:rsidR="006F646F">
              <w:rPr>
                <w:noProof/>
                <w:webHidden/>
              </w:rPr>
              <w:instrText xml:space="preserve"> PAGEREF _Toc129256734 \h </w:instrText>
            </w:r>
            <w:r w:rsidR="006F646F">
              <w:rPr>
                <w:noProof/>
                <w:webHidden/>
              </w:rPr>
            </w:r>
            <w:r w:rsidR="006F646F">
              <w:rPr>
                <w:noProof/>
                <w:webHidden/>
              </w:rPr>
              <w:fldChar w:fldCharType="separate"/>
            </w:r>
            <w:r w:rsidR="006F646F">
              <w:rPr>
                <w:noProof/>
                <w:webHidden/>
              </w:rPr>
              <w:t>218</w:t>
            </w:r>
            <w:r w:rsidR="006F646F">
              <w:rPr>
                <w:noProof/>
                <w:webHidden/>
              </w:rPr>
              <w:fldChar w:fldCharType="end"/>
            </w:r>
          </w:hyperlink>
        </w:p>
        <w:p w14:paraId="0691D27E"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35" w:history="1">
            <w:r w:rsidR="006F646F" w:rsidRPr="00CC52AE">
              <w:rPr>
                <w:rStyle w:val="Hyperlink"/>
                <w:rFonts w:ascii="Calibri" w:eastAsia="Times New Roman" w:hAnsi="Calibri" w:cs="Calibri"/>
                <w:noProof/>
              </w:rPr>
              <w:t>Appendix B: Calculation of 2000 Intake Threshold</w:t>
            </w:r>
            <w:r w:rsidR="006F646F">
              <w:rPr>
                <w:noProof/>
                <w:webHidden/>
              </w:rPr>
              <w:tab/>
            </w:r>
            <w:r w:rsidR="006F646F">
              <w:rPr>
                <w:noProof/>
                <w:webHidden/>
              </w:rPr>
              <w:fldChar w:fldCharType="begin"/>
            </w:r>
            <w:r w:rsidR="006F646F">
              <w:rPr>
                <w:noProof/>
                <w:webHidden/>
              </w:rPr>
              <w:instrText xml:space="preserve"> PAGEREF _Toc129256735 \h </w:instrText>
            </w:r>
            <w:r w:rsidR="006F646F">
              <w:rPr>
                <w:noProof/>
                <w:webHidden/>
              </w:rPr>
            </w:r>
            <w:r w:rsidR="006F646F">
              <w:rPr>
                <w:noProof/>
                <w:webHidden/>
              </w:rPr>
              <w:fldChar w:fldCharType="separate"/>
            </w:r>
            <w:r w:rsidR="006F646F">
              <w:rPr>
                <w:noProof/>
                <w:webHidden/>
              </w:rPr>
              <w:t>221</w:t>
            </w:r>
            <w:r w:rsidR="006F646F">
              <w:rPr>
                <w:noProof/>
                <w:webHidden/>
              </w:rPr>
              <w:fldChar w:fldCharType="end"/>
            </w:r>
          </w:hyperlink>
        </w:p>
        <w:p w14:paraId="2344D031"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36" w:history="1">
            <w:r w:rsidR="006F646F" w:rsidRPr="00CC52AE">
              <w:rPr>
                <w:rStyle w:val="Hyperlink"/>
                <w:rFonts w:ascii="Calibri" w:eastAsia="Times New Roman" w:hAnsi="Calibri" w:cs="Calibri"/>
                <w:noProof/>
              </w:rPr>
              <w:t>Appendix C: Landfill Properties</w:t>
            </w:r>
            <w:r w:rsidR="006F646F">
              <w:rPr>
                <w:noProof/>
                <w:webHidden/>
              </w:rPr>
              <w:tab/>
            </w:r>
            <w:r w:rsidR="006F646F">
              <w:rPr>
                <w:noProof/>
                <w:webHidden/>
              </w:rPr>
              <w:fldChar w:fldCharType="begin"/>
            </w:r>
            <w:r w:rsidR="006F646F">
              <w:rPr>
                <w:noProof/>
                <w:webHidden/>
              </w:rPr>
              <w:instrText xml:space="preserve"> PAGEREF _Toc129256736 \h </w:instrText>
            </w:r>
            <w:r w:rsidR="006F646F">
              <w:rPr>
                <w:noProof/>
                <w:webHidden/>
              </w:rPr>
            </w:r>
            <w:r w:rsidR="006F646F">
              <w:rPr>
                <w:noProof/>
                <w:webHidden/>
              </w:rPr>
              <w:fldChar w:fldCharType="separate"/>
            </w:r>
            <w:r w:rsidR="006F646F">
              <w:rPr>
                <w:noProof/>
                <w:webHidden/>
              </w:rPr>
              <w:t>223</w:t>
            </w:r>
            <w:r w:rsidR="006F646F">
              <w:rPr>
                <w:noProof/>
                <w:webHidden/>
              </w:rPr>
              <w:fldChar w:fldCharType="end"/>
            </w:r>
          </w:hyperlink>
        </w:p>
        <w:p w14:paraId="21F3A5EB" w14:textId="77777777" w:rsidR="006F646F" w:rsidRDefault="00415FF3" w:rsidP="006F646F">
          <w:pPr>
            <w:pStyle w:val="TOC2"/>
            <w:rPr>
              <w:rFonts w:asciiTheme="minorHAnsi" w:eastAsiaTheme="minorEastAsia" w:hAnsiTheme="minorHAnsi"/>
              <w:b w:val="0"/>
              <w:bCs w:val="0"/>
              <w:noProof/>
              <w:color w:val="auto"/>
              <w:sz w:val="22"/>
              <w:szCs w:val="22"/>
            </w:rPr>
          </w:pPr>
          <w:hyperlink w:anchor="_Toc129256737" w:history="1">
            <w:r w:rsidR="006F646F" w:rsidRPr="00CC52AE">
              <w:rPr>
                <w:rStyle w:val="Hyperlink"/>
                <w:rFonts w:ascii="Calibri" w:eastAsia="Times New Roman" w:hAnsi="Calibri" w:cs="Calibri"/>
                <w:noProof/>
              </w:rPr>
              <w:t>Appendix D: Climate change and other environmental activism/legislation</w:t>
            </w:r>
            <w:r w:rsidR="006F646F">
              <w:rPr>
                <w:noProof/>
                <w:webHidden/>
              </w:rPr>
              <w:tab/>
            </w:r>
            <w:r w:rsidR="006F646F">
              <w:rPr>
                <w:noProof/>
                <w:webHidden/>
              </w:rPr>
              <w:fldChar w:fldCharType="begin"/>
            </w:r>
            <w:r w:rsidR="006F646F">
              <w:rPr>
                <w:noProof/>
                <w:webHidden/>
              </w:rPr>
              <w:instrText xml:space="preserve"> PAGEREF _Toc129256737 \h </w:instrText>
            </w:r>
            <w:r w:rsidR="006F646F">
              <w:rPr>
                <w:noProof/>
                <w:webHidden/>
              </w:rPr>
            </w:r>
            <w:r w:rsidR="006F646F">
              <w:rPr>
                <w:noProof/>
                <w:webHidden/>
              </w:rPr>
              <w:fldChar w:fldCharType="separate"/>
            </w:r>
            <w:r w:rsidR="006F646F">
              <w:rPr>
                <w:noProof/>
                <w:webHidden/>
              </w:rPr>
              <w:t>229</w:t>
            </w:r>
            <w:r w:rsidR="006F646F">
              <w:rPr>
                <w:noProof/>
                <w:webHidden/>
              </w:rPr>
              <w:fldChar w:fldCharType="end"/>
            </w:r>
          </w:hyperlink>
        </w:p>
        <w:p w14:paraId="1B30F21A" w14:textId="77777777" w:rsidR="006F646F" w:rsidRDefault="006F646F" w:rsidP="006F646F">
          <w:r>
            <w:rPr>
              <w:b/>
              <w:bCs/>
              <w:noProof/>
            </w:rPr>
            <w:fldChar w:fldCharType="end"/>
          </w:r>
        </w:p>
      </w:sdtContent>
    </w:sdt>
    <w:p w14:paraId="3FC49F18" w14:textId="77777777" w:rsidR="006F646F" w:rsidRDefault="006F646F" w:rsidP="006F646F">
      <w:pPr>
        <w:tabs>
          <w:tab w:val="right" w:leader="dot" w:pos="9350"/>
        </w:tabs>
        <w:spacing w:after="120"/>
        <w:rPr>
          <w:rFonts w:eastAsia="Calibri" w:cstheme="minorHAnsi"/>
          <w:sz w:val="24"/>
          <w:szCs w:val="24"/>
        </w:rPr>
      </w:pPr>
      <w:r>
        <w:rPr>
          <w:rFonts w:eastAsia="Calibri" w:cstheme="minorHAnsi"/>
          <w:sz w:val="24"/>
          <w:szCs w:val="24"/>
        </w:rPr>
        <w:br w:type="page"/>
      </w:r>
    </w:p>
    <w:p w14:paraId="751838C7" w14:textId="77777777" w:rsidR="006F646F" w:rsidRPr="0041791D" w:rsidRDefault="006F646F" w:rsidP="006F646F">
      <w:pPr>
        <w:tabs>
          <w:tab w:val="right" w:leader="dot" w:pos="9350"/>
        </w:tabs>
        <w:spacing w:after="120"/>
        <w:rPr>
          <w:rFonts w:eastAsia="Calibri" w:cstheme="minorHAnsi"/>
          <w:sz w:val="24"/>
          <w:szCs w:val="24"/>
        </w:rPr>
      </w:pPr>
      <w:r w:rsidRPr="0041791D">
        <w:rPr>
          <w:rFonts w:eastAsia="Calibri" w:cstheme="minorHAnsi"/>
          <w:sz w:val="24"/>
          <w:szCs w:val="24"/>
        </w:rPr>
        <w:lastRenderedPageBreak/>
        <w:fldChar w:fldCharType="begin"/>
      </w:r>
      <w:r w:rsidRPr="0041791D">
        <w:rPr>
          <w:rFonts w:eastAsia="Calibri" w:cstheme="minorHAnsi"/>
          <w:sz w:val="24"/>
          <w:szCs w:val="24"/>
        </w:rPr>
        <w:instrText xml:space="preserve"> TOC \h \z \c "A.1-KR-" </w:instrText>
      </w:r>
      <w:r w:rsidR="00415FF3">
        <w:rPr>
          <w:rFonts w:eastAsia="Calibri" w:cstheme="minorHAnsi"/>
          <w:sz w:val="24"/>
          <w:szCs w:val="24"/>
        </w:rPr>
        <w:fldChar w:fldCharType="separate"/>
      </w:r>
      <w:r w:rsidRPr="0041791D">
        <w:rPr>
          <w:rFonts w:eastAsia="Calibri" w:cstheme="minorHAnsi"/>
          <w:sz w:val="24"/>
          <w:szCs w:val="24"/>
        </w:rPr>
        <w:fldChar w:fldCharType="end"/>
      </w:r>
    </w:p>
    <w:p w14:paraId="3D471B0F" w14:textId="77777777" w:rsidR="006F646F" w:rsidRPr="0041791D" w:rsidRDefault="006F646F" w:rsidP="006F646F">
      <w:pPr>
        <w:keepNext/>
        <w:keepLines/>
        <w:numPr>
          <w:ilvl w:val="0"/>
          <w:numId w:val="22"/>
        </w:numPr>
        <w:spacing w:after="240" w:line="240" w:lineRule="auto"/>
        <w:outlineLvl w:val="0"/>
        <w:rPr>
          <w:rFonts w:eastAsia="Times New Roman" w:cstheme="minorHAnsi"/>
          <w:color w:val="2E74B5"/>
          <w:sz w:val="24"/>
          <w:szCs w:val="24"/>
        </w:rPr>
      </w:pPr>
      <w:bookmarkStart w:id="2" w:name="_Toc128666855"/>
      <w:bookmarkStart w:id="3" w:name="_Toc129256690"/>
      <w:commentRangeStart w:id="4"/>
      <w:r w:rsidRPr="0041791D">
        <w:rPr>
          <w:rFonts w:eastAsia="Times New Roman" w:cstheme="minorHAnsi"/>
          <w:color w:val="2E74B5"/>
          <w:sz w:val="24"/>
          <w:szCs w:val="24"/>
        </w:rPr>
        <w:t>Section 0: Background</w:t>
      </w:r>
      <w:bookmarkEnd w:id="2"/>
      <w:commentRangeEnd w:id="4"/>
      <w:r>
        <w:rPr>
          <w:rStyle w:val="CommentReference"/>
        </w:rPr>
        <w:commentReference w:id="4"/>
      </w:r>
      <w:bookmarkEnd w:id="3"/>
    </w:p>
    <w:p w14:paraId="6BE5F686" w14:textId="77777777" w:rsidR="006F646F" w:rsidRPr="0041791D" w:rsidRDefault="006F646F" w:rsidP="006F646F">
      <w:pPr>
        <w:keepNext/>
        <w:keepLines/>
        <w:numPr>
          <w:ilvl w:val="0"/>
          <w:numId w:val="16"/>
        </w:numPr>
        <w:spacing w:before="240" w:after="240"/>
        <w:outlineLvl w:val="1"/>
        <w:rPr>
          <w:rFonts w:eastAsia="Times New Roman" w:cstheme="minorHAnsi"/>
          <w:color w:val="2E74B5"/>
          <w:sz w:val="24"/>
          <w:szCs w:val="24"/>
        </w:rPr>
      </w:pPr>
      <w:bookmarkStart w:id="5" w:name="_Toc128666856"/>
      <w:bookmarkStart w:id="6" w:name="_Toc129256691"/>
      <w:r w:rsidRPr="0041791D">
        <w:rPr>
          <w:rFonts w:eastAsia="Times New Roman" w:cstheme="minorHAnsi"/>
          <w:color w:val="2E74B5"/>
          <w:sz w:val="24"/>
          <w:szCs w:val="24"/>
        </w:rPr>
        <w:t>Charge</w:t>
      </w:r>
      <w:bookmarkEnd w:id="5"/>
      <w:bookmarkEnd w:id="6"/>
    </w:p>
    <w:p w14:paraId="702F57FB" w14:textId="77777777" w:rsidR="006F646F" w:rsidRPr="0041791D" w:rsidRDefault="006F646F" w:rsidP="006F646F">
      <w:pPr>
        <w:keepNext/>
        <w:keepLines/>
        <w:numPr>
          <w:ilvl w:val="0"/>
          <w:numId w:val="23"/>
        </w:numPr>
        <w:spacing w:after="120" w:line="240" w:lineRule="auto"/>
        <w:ind w:left="734" w:hanging="187"/>
        <w:outlineLvl w:val="2"/>
        <w:rPr>
          <w:rFonts w:eastAsia="Times New Roman" w:cstheme="minorHAnsi"/>
          <w:b/>
          <w:bCs/>
          <w:sz w:val="24"/>
          <w:szCs w:val="24"/>
        </w:rPr>
      </w:pPr>
      <w:bookmarkStart w:id="7" w:name="_Toc128666857"/>
      <w:bookmarkStart w:id="8" w:name="_Toc129256692"/>
      <w:r w:rsidRPr="0041791D">
        <w:rPr>
          <w:rFonts w:eastAsia="Times New Roman" w:cstheme="minorHAnsi"/>
          <w:b/>
          <w:bCs/>
          <w:sz w:val="24"/>
          <w:szCs w:val="24"/>
        </w:rPr>
        <w:t>Workgroup charter and bylaws 8-23-2022</w:t>
      </w:r>
      <w:bookmarkEnd w:id="7"/>
      <w:bookmarkEnd w:id="8"/>
    </w:p>
    <w:p w14:paraId="634F2833"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From the “</w:t>
      </w:r>
      <w:hyperlink r:id="rId13" w:tgtFrame="_blank" w:tooltip="benton_county_talks_trash_charter_and_bylaws_approved_8-23-22_final.pdf" w:history="1">
        <w:r w:rsidRPr="0041791D">
          <w:rPr>
            <w:rFonts w:eastAsia="Calibri" w:cstheme="minorHAnsi"/>
            <w:color w:val="0563C1"/>
            <w:sz w:val="24"/>
            <w:szCs w:val="24"/>
            <w:u w:val="single"/>
          </w:rPr>
          <w:t>Benton County Talks Trash" Workgroup Charter and Bylaws</w:t>
        </w:r>
      </w:hyperlink>
      <w:r w:rsidRPr="0041791D">
        <w:rPr>
          <w:rFonts w:eastAsia="Calibri" w:cstheme="minorHAnsi"/>
          <w:sz w:val="24"/>
          <w:szCs w:val="24"/>
        </w:rPr>
        <w:t xml:space="preserve"> document, Topic A:</w:t>
      </w:r>
    </w:p>
    <w:p w14:paraId="6EC61BA5" w14:textId="77777777" w:rsidR="006F646F" w:rsidRPr="0041791D" w:rsidRDefault="006F646F" w:rsidP="006F646F">
      <w:pPr>
        <w:autoSpaceDE w:val="0"/>
        <w:autoSpaceDN w:val="0"/>
        <w:adjustRightInd w:val="0"/>
        <w:spacing w:after="0" w:line="360" w:lineRule="auto"/>
        <w:ind w:left="547"/>
        <w:rPr>
          <w:rFonts w:eastAsia="Calibri" w:cstheme="minorHAnsi"/>
          <w:color w:val="000000"/>
          <w:sz w:val="24"/>
          <w:szCs w:val="24"/>
        </w:rPr>
      </w:pPr>
      <w:r w:rsidRPr="0041791D">
        <w:rPr>
          <w:rFonts w:eastAsia="Calibri" w:cstheme="minorHAnsi"/>
          <w:b/>
          <w:bCs/>
          <w:color w:val="000000"/>
          <w:sz w:val="24"/>
          <w:szCs w:val="24"/>
        </w:rPr>
        <w:t xml:space="preserve">A. Develop Common Understandings to form the basis of the work. </w:t>
      </w:r>
    </w:p>
    <w:p w14:paraId="411F7118" w14:textId="77777777" w:rsidR="006F646F" w:rsidRPr="0041791D" w:rsidRDefault="006F646F" w:rsidP="006F646F">
      <w:pPr>
        <w:spacing w:line="240" w:lineRule="auto"/>
        <w:ind w:left="720"/>
        <w:rPr>
          <w:rFonts w:eastAsia="Calibri" w:cstheme="minorHAnsi"/>
          <w:sz w:val="24"/>
          <w:szCs w:val="24"/>
        </w:rPr>
      </w:pPr>
      <w:r w:rsidRPr="0041791D">
        <w:rPr>
          <w:rFonts w:eastAsia="Calibri" w:cstheme="minorHAnsi"/>
          <w:sz w:val="24"/>
          <w:szCs w:val="24"/>
        </w:rPr>
        <w:t xml:space="preserve">1) A chronological history of key Coffin Butte Landfill topics: </w:t>
      </w:r>
    </w:p>
    <w:p w14:paraId="6E426BC6"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 xml:space="preserve">a. </w:t>
      </w:r>
      <w:proofErr w:type="gramStart"/>
      <w:r w:rsidRPr="0041791D">
        <w:rPr>
          <w:rFonts w:eastAsia="Calibri" w:cstheme="minorHAnsi"/>
          <w:sz w:val="24"/>
          <w:szCs w:val="24"/>
        </w:rPr>
        <w:t>Size;</w:t>
      </w:r>
      <w:proofErr w:type="gramEnd"/>
      <w:r w:rsidRPr="0041791D">
        <w:rPr>
          <w:rFonts w:eastAsia="Calibri" w:cstheme="minorHAnsi"/>
          <w:sz w:val="24"/>
          <w:szCs w:val="24"/>
        </w:rPr>
        <w:t xml:space="preserve"> </w:t>
      </w:r>
    </w:p>
    <w:p w14:paraId="052D84C4"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 xml:space="preserve">b. Specific </w:t>
      </w:r>
      <w:proofErr w:type="gramStart"/>
      <w:r w:rsidRPr="0041791D">
        <w:rPr>
          <w:rFonts w:eastAsia="Calibri" w:cstheme="minorHAnsi"/>
          <w:sz w:val="24"/>
          <w:szCs w:val="24"/>
        </w:rPr>
        <w:t>locations;</w:t>
      </w:r>
      <w:proofErr w:type="gramEnd"/>
      <w:r w:rsidRPr="0041791D">
        <w:rPr>
          <w:rFonts w:eastAsia="Calibri" w:cstheme="minorHAnsi"/>
          <w:sz w:val="24"/>
          <w:szCs w:val="24"/>
        </w:rPr>
        <w:t xml:space="preserve"> </w:t>
      </w:r>
    </w:p>
    <w:p w14:paraId="3E4B142B"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 xml:space="preserve">c. Conditions of past land use </w:t>
      </w:r>
      <w:proofErr w:type="gramStart"/>
      <w:r w:rsidRPr="0041791D">
        <w:rPr>
          <w:rFonts w:eastAsia="Calibri" w:cstheme="minorHAnsi"/>
          <w:sz w:val="24"/>
          <w:szCs w:val="24"/>
        </w:rPr>
        <w:t>approvals;</w:t>
      </w:r>
      <w:proofErr w:type="gramEnd"/>
      <w:r w:rsidRPr="0041791D">
        <w:rPr>
          <w:rFonts w:eastAsia="Calibri" w:cstheme="minorHAnsi"/>
          <w:sz w:val="24"/>
          <w:szCs w:val="24"/>
        </w:rPr>
        <w:t xml:space="preserve"> </w:t>
      </w:r>
    </w:p>
    <w:p w14:paraId="61517B9A"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 xml:space="preserve">d. Compliance with prior land use approvals and </w:t>
      </w:r>
      <w:proofErr w:type="gramStart"/>
      <w:r w:rsidRPr="0041791D">
        <w:rPr>
          <w:rFonts w:eastAsia="Calibri" w:cstheme="minorHAnsi"/>
          <w:sz w:val="24"/>
          <w:szCs w:val="24"/>
        </w:rPr>
        <w:t>SWMP;</w:t>
      </w:r>
      <w:proofErr w:type="gramEnd"/>
      <w:r w:rsidRPr="0041791D">
        <w:rPr>
          <w:rFonts w:eastAsia="Calibri" w:cstheme="minorHAnsi"/>
          <w:sz w:val="24"/>
          <w:szCs w:val="24"/>
        </w:rPr>
        <w:t xml:space="preserve"> </w:t>
      </w:r>
    </w:p>
    <w:p w14:paraId="0DFFB5D0"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 xml:space="preserve">e. Reporting </w:t>
      </w:r>
      <w:proofErr w:type="gramStart"/>
      <w:r w:rsidRPr="0041791D">
        <w:rPr>
          <w:rFonts w:eastAsia="Calibri" w:cstheme="minorHAnsi"/>
          <w:sz w:val="24"/>
          <w:szCs w:val="24"/>
        </w:rPr>
        <w:t>requirements;</w:t>
      </w:r>
      <w:proofErr w:type="gramEnd"/>
      <w:r w:rsidRPr="0041791D">
        <w:rPr>
          <w:rFonts w:eastAsia="Calibri" w:cstheme="minorHAnsi"/>
          <w:sz w:val="24"/>
          <w:szCs w:val="24"/>
        </w:rPr>
        <w:t xml:space="preserve"> </w:t>
      </w:r>
    </w:p>
    <w:p w14:paraId="25EEB180"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f. Assumptions (</w:t>
      </w:r>
      <w:proofErr w:type="gramStart"/>
      <w:r w:rsidRPr="0041791D">
        <w:rPr>
          <w:rFonts w:eastAsia="Calibri" w:cstheme="minorHAnsi"/>
          <w:sz w:val="24"/>
          <w:szCs w:val="24"/>
        </w:rPr>
        <w:t>e.g.</w:t>
      </w:r>
      <w:proofErr w:type="gramEnd"/>
      <w:r w:rsidRPr="0041791D">
        <w:rPr>
          <w:rFonts w:eastAsia="Calibri" w:cstheme="minorHAnsi"/>
          <w:sz w:val="24"/>
          <w:szCs w:val="24"/>
        </w:rPr>
        <w:t xml:space="preserve"> when will the landfill close;) </w:t>
      </w:r>
    </w:p>
    <w:p w14:paraId="511C332C"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g. Economics (</w:t>
      </w:r>
      <w:proofErr w:type="gramStart"/>
      <w:r w:rsidRPr="0041791D">
        <w:rPr>
          <w:rFonts w:eastAsia="Calibri" w:cstheme="minorHAnsi"/>
          <w:sz w:val="24"/>
          <w:szCs w:val="24"/>
        </w:rPr>
        <w:t>i.e.</w:t>
      </w:r>
      <w:proofErr w:type="gramEnd"/>
      <w:r w:rsidRPr="0041791D">
        <w:rPr>
          <w:rFonts w:eastAsia="Calibri" w:cstheme="minorHAnsi"/>
          <w:sz w:val="24"/>
          <w:szCs w:val="24"/>
        </w:rPr>
        <w:t xml:space="preserve"> Benefit – Cost, etc.;) and </w:t>
      </w:r>
    </w:p>
    <w:p w14:paraId="41E3F740" w14:textId="77777777" w:rsidR="006F646F" w:rsidRPr="0041791D" w:rsidRDefault="006F646F" w:rsidP="006F646F">
      <w:pPr>
        <w:spacing w:after="120" w:line="240" w:lineRule="auto"/>
        <w:ind w:left="1080"/>
        <w:rPr>
          <w:rFonts w:eastAsia="Calibri" w:cstheme="minorHAnsi"/>
          <w:sz w:val="24"/>
          <w:szCs w:val="24"/>
        </w:rPr>
      </w:pPr>
      <w:r w:rsidRPr="0041791D">
        <w:rPr>
          <w:rFonts w:eastAsia="Calibri" w:cstheme="minorHAnsi"/>
          <w:sz w:val="24"/>
          <w:szCs w:val="24"/>
        </w:rPr>
        <w:t xml:space="preserve">h. Examples from other jurisdictions hosting landfills, e.g.: </w:t>
      </w:r>
    </w:p>
    <w:p w14:paraId="61912B0A" w14:textId="77777777" w:rsidR="006F646F" w:rsidRPr="0041791D" w:rsidRDefault="006F646F" w:rsidP="006F646F">
      <w:pPr>
        <w:spacing w:after="120" w:line="240" w:lineRule="auto"/>
        <w:ind w:left="1440"/>
        <w:rPr>
          <w:rFonts w:eastAsia="Calibri" w:cstheme="minorHAnsi"/>
          <w:sz w:val="24"/>
          <w:szCs w:val="24"/>
        </w:rPr>
      </w:pPr>
      <w:proofErr w:type="spellStart"/>
      <w:r w:rsidRPr="0041791D">
        <w:rPr>
          <w:rFonts w:eastAsia="Calibri" w:cstheme="minorHAnsi"/>
          <w:sz w:val="24"/>
          <w:szCs w:val="24"/>
        </w:rPr>
        <w:t>i</w:t>
      </w:r>
      <w:proofErr w:type="spellEnd"/>
      <w:r w:rsidRPr="0041791D">
        <w:rPr>
          <w:rFonts w:eastAsia="Calibri" w:cstheme="minorHAnsi"/>
          <w:sz w:val="24"/>
          <w:szCs w:val="24"/>
        </w:rPr>
        <w:t xml:space="preserve">. Typical land use conditions of approval; and </w:t>
      </w:r>
    </w:p>
    <w:p w14:paraId="192D01D7" w14:textId="77777777" w:rsidR="006F646F" w:rsidRPr="0041791D" w:rsidRDefault="006F646F" w:rsidP="006F646F">
      <w:pPr>
        <w:spacing w:after="240" w:line="240" w:lineRule="auto"/>
        <w:ind w:left="1440"/>
        <w:rPr>
          <w:rFonts w:eastAsia="Calibri" w:cstheme="minorHAnsi"/>
          <w:sz w:val="24"/>
          <w:szCs w:val="24"/>
        </w:rPr>
      </w:pPr>
      <w:r w:rsidRPr="0041791D">
        <w:rPr>
          <w:rFonts w:eastAsia="Calibri" w:cstheme="minorHAnsi"/>
          <w:sz w:val="24"/>
          <w:szCs w:val="24"/>
        </w:rPr>
        <w:t>ii. Issue sequencing, (</w:t>
      </w:r>
      <w:proofErr w:type="gramStart"/>
      <w:r w:rsidRPr="0041791D">
        <w:rPr>
          <w:rFonts w:eastAsia="Calibri" w:cstheme="minorHAnsi"/>
          <w:sz w:val="24"/>
          <w:szCs w:val="24"/>
        </w:rPr>
        <w:t>e.g.</w:t>
      </w:r>
      <w:proofErr w:type="gramEnd"/>
      <w:r w:rsidRPr="0041791D">
        <w:rPr>
          <w:rFonts w:eastAsia="Calibri" w:cstheme="minorHAnsi"/>
          <w:sz w:val="24"/>
          <w:szCs w:val="24"/>
        </w:rPr>
        <w:t xml:space="preserve"> in what order are landfill versus hauling approvals done, etc.</w:t>
      </w:r>
    </w:p>
    <w:p w14:paraId="6EAC5B76" w14:textId="77777777" w:rsidR="006F646F" w:rsidRPr="0041791D" w:rsidRDefault="006F646F" w:rsidP="006F646F">
      <w:pPr>
        <w:keepNext/>
        <w:keepLines/>
        <w:spacing w:before="120" w:after="120"/>
        <w:outlineLvl w:val="2"/>
        <w:rPr>
          <w:rFonts w:eastAsia="Times New Roman" w:cstheme="minorHAnsi"/>
          <w:b/>
          <w:bCs/>
          <w:sz w:val="24"/>
          <w:szCs w:val="24"/>
        </w:rPr>
      </w:pPr>
      <w:bookmarkStart w:id="9" w:name="_Toc128666858"/>
      <w:bookmarkStart w:id="10" w:name="_Toc129256693"/>
      <w:r w:rsidRPr="0041791D">
        <w:rPr>
          <w:rFonts w:eastAsia="Times New Roman" w:cstheme="minorHAnsi"/>
          <w:b/>
          <w:bCs/>
          <w:sz w:val="24"/>
          <w:szCs w:val="24"/>
        </w:rPr>
        <w:t>Subcommittee A.1 charge</w:t>
      </w:r>
      <w:bookmarkEnd w:id="9"/>
      <w:bookmarkEnd w:id="10"/>
    </w:p>
    <w:p w14:paraId="653DAD35"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The A.1 subcommittee was charged with a </w:t>
      </w:r>
      <w:r w:rsidRPr="0041791D">
        <w:rPr>
          <w:rFonts w:eastAsia="Calibri" w:cstheme="minorHAnsi"/>
          <w:sz w:val="24"/>
          <w:szCs w:val="24"/>
          <w:u w:val="single"/>
        </w:rPr>
        <w:t>subset</w:t>
      </w:r>
      <w:r w:rsidRPr="0041791D">
        <w:rPr>
          <w:rFonts w:eastAsia="Calibri" w:cstheme="minorHAnsi"/>
          <w:sz w:val="24"/>
          <w:szCs w:val="24"/>
        </w:rPr>
        <w:t xml:space="preserve"> of the tasks listed above.  Specifically, per the </w:t>
      </w:r>
      <w:hyperlink r:id="rId14" w:history="1">
        <w:r w:rsidRPr="0041791D">
          <w:rPr>
            <w:rFonts w:eastAsia="Calibri" w:cstheme="minorHAnsi"/>
            <w:color w:val="0563C1"/>
            <w:sz w:val="24"/>
            <w:szCs w:val="24"/>
            <w:u w:val="single"/>
          </w:rPr>
          <w:t>A.1 Subcommittee web page</w:t>
        </w:r>
      </w:hyperlink>
      <w:r w:rsidRPr="0041791D">
        <w:rPr>
          <w:rFonts w:eastAsia="Calibri" w:cstheme="minorHAnsi"/>
          <w:sz w:val="24"/>
          <w:szCs w:val="24"/>
        </w:rPr>
        <w:t>:</w:t>
      </w:r>
    </w:p>
    <w:p w14:paraId="0A2AC776" w14:textId="77777777" w:rsidR="006F646F" w:rsidRPr="0041791D" w:rsidRDefault="006F646F" w:rsidP="006F646F">
      <w:pPr>
        <w:spacing w:after="0"/>
        <w:ind w:left="540"/>
        <w:rPr>
          <w:rFonts w:eastAsia="Calibri" w:cstheme="minorHAnsi"/>
          <w:sz w:val="24"/>
          <w:szCs w:val="24"/>
        </w:rPr>
      </w:pPr>
      <w:r w:rsidRPr="0041791D">
        <w:rPr>
          <w:rFonts w:eastAsia="Calibri" w:cstheme="minorHAnsi"/>
          <w:sz w:val="24"/>
          <w:szCs w:val="24"/>
        </w:rPr>
        <w:t>Charge A: Common Understandings Tasks</w:t>
      </w:r>
    </w:p>
    <w:p w14:paraId="2632C15A" w14:textId="77777777" w:rsidR="006F646F" w:rsidRPr="0041791D" w:rsidRDefault="006F646F" w:rsidP="006F646F">
      <w:pPr>
        <w:spacing w:before="120" w:after="120" w:line="240" w:lineRule="auto"/>
        <w:ind w:left="720"/>
        <w:rPr>
          <w:rFonts w:eastAsia="Times New Roman" w:cstheme="minorHAnsi"/>
          <w:sz w:val="24"/>
          <w:szCs w:val="24"/>
        </w:rPr>
      </w:pPr>
      <w:r w:rsidRPr="0041791D">
        <w:rPr>
          <w:rFonts w:eastAsia="Times New Roman" w:cstheme="minorHAnsi"/>
          <w:sz w:val="24"/>
          <w:szCs w:val="24"/>
        </w:rPr>
        <w:t>1) A chronological history of key Coffin Butte Landfill topics:</w:t>
      </w:r>
    </w:p>
    <w:p w14:paraId="0430581D" w14:textId="77777777" w:rsidR="006F646F" w:rsidRPr="0041791D" w:rsidRDefault="006F646F" w:rsidP="006F646F">
      <w:pPr>
        <w:numPr>
          <w:ilvl w:val="0"/>
          <w:numId w:val="17"/>
        </w:numPr>
        <w:spacing w:before="120" w:after="100" w:afterAutospacing="1" w:line="240" w:lineRule="auto"/>
        <w:ind w:left="1354"/>
        <w:rPr>
          <w:rFonts w:eastAsia="Times New Roman" w:cstheme="minorHAnsi"/>
          <w:sz w:val="24"/>
          <w:szCs w:val="24"/>
        </w:rPr>
      </w:pPr>
      <w:proofErr w:type="gramStart"/>
      <w:r w:rsidRPr="0041791D">
        <w:rPr>
          <w:rFonts w:eastAsia="Times New Roman" w:cstheme="minorHAnsi"/>
          <w:sz w:val="24"/>
          <w:szCs w:val="24"/>
        </w:rPr>
        <w:t>Size;</w:t>
      </w:r>
      <w:proofErr w:type="gramEnd"/>
    </w:p>
    <w:p w14:paraId="4DB10FC6" w14:textId="77777777" w:rsidR="006F646F" w:rsidRPr="0041791D" w:rsidRDefault="006F646F" w:rsidP="006F646F">
      <w:pPr>
        <w:numPr>
          <w:ilvl w:val="0"/>
          <w:numId w:val="17"/>
        </w:numPr>
        <w:spacing w:before="100" w:beforeAutospacing="1" w:after="100" w:afterAutospacing="1" w:line="240" w:lineRule="auto"/>
        <w:ind w:left="1350"/>
        <w:rPr>
          <w:rFonts w:eastAsia="Times New Roman" w:cstheme="minorHAnsi"/>
          <w:sz w:val="24"/>
          <w:szCs w:val="24"/>
        </w:rPr>
      </w:pPr>
      <w:r w:rsidRPr="0041791D">
        <w:rPr>
          <w:rFonts w:eastAsia="Times New Roman" w:cstheme="minorHAnsi"/>
          <w:sz w:val="24"/>
          <w:szCs w:val="24"/>
        </w:rPr>
        <w:t xml:space="preserve">Specific </w:t>
      </w:r>
      <w:proofErr w:type="gramStart"/>
      <w:r w:rsidRPr="0041791D">
        <w:rPr>
          <w:rFonts w:eastAsia="Times New Roman" w:cstheme="minorHAnsi"/>
          <w:sz w:val="24"/>
          <w:szCs w:val="24"/>
        </w:rPr>
        <w:t>locations;</w:t>
      </w:r>
      <w:proofErr w:type="gramEnd"/>
    </w:p>
    <w:p w14:paraId="1CB70476" w14:textId="77777777" w:rsidR="006F646F" w:rsidRPr="0041791D" w:rsidRDefault="006F646F" w:rsidP="006F646F">
      <w:pPr>
        <w:numPr>
          <w:ilvl w:val="0"/>
          <w:numId w:val="17"/>
        </w:numPr>
        <w:spacing w:before="100" w:beforeAutospacing="1" w:after="100" w:afterAutospacing="1" w:line="240" w:lineRule="auto"/>
        <w:ind w:left="1350"/>
        <w:rPr>
          <w:rFonts w:eastAsia="Times New Roman" w:cstheme="minorHAnsi"/>
          <w:sz w:val="24"/>
          <w:szCs w:val="24"/>
        </w:rPr>
      </w:pPr>
      <w:r w:rsidRPr="0041791D">
        <w:rPr>
          <w:rFonts w:eastAsia="Times New Roman" w:cstheme="minorHAnsi"/>
          <w:sz w:val="24"/>
          <w:szCs w:val="24"/>
        </w:rPr>
        <w:t>Assumptions (</w:t>
      </w:r>
      <w:proofErr w:type="gramStart"/>
      <w:r w:rsidRPr="0041791D">
        <w:rPr>
          <w:rFonts w:eastAsia="Times New Roman" w:cstheme="minorHAnsi"/>
          <w:sz w:val="24"/>
          <w:szCs w:val="24"/>
        </w:rPr>
        <w:t>e.g.</w:t>
      </w:r>
      <w:proofErr w:type="gramEnd"/>
      <w:r w:rsidRPr="0041791D">
        <w:rPr>
          <w:rFonts w:eastAsia="Times New Roman" w:cstheme="minorHAnsi"/>
          <w:sz w:val="24"/>
          <w:szCs w:val="24"/>
        </w:rPr>
        <w:t xml:space="preserve"> when will the landfill close;)</w:t>
      </w:r>
    </w:p>
    <w:p w14:paraId="3432DB11"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Thus the A.1 subcommittee addresses components 1(a), 1(b) and 1(f) of the workgroup charter Topic A tasks.</w:t>
      </w:r>
    </w:p>
    <w:p w14:paraId="1E0AD77F"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Charge 3 “Assumptions” is interpreted to mean estimation of the landfill operational lifetime including the assumptions behind this estimation.</w:t>
      </w:r>
    </w:p>
    <w:p w14:paraId="20F9DF15"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Note that for the A.1 subcommittee, “chronological history” is limited specifically to these three topics; a more general history of the landfill will be addressed by another body.</w:t>
      </w:r>
    </w:p>
    <w:p w14:paraId="2CEFE818" w14:textId="77777777" w:rsidR="006F646F" w:rsidRPr="00712D45" w:rsidRDefault="006F646F" w:rsidP="006F646F">
      <w:pPr>
        <w:keepNext/>
        <w:keepLines/>
        <w:spacing w:before="120" w:after="120"/>
        <w:outlineLvl w:val="2"/>
        <w:rPr>
          <w:rFonts w:eastAsia="Times New Roman" w:cstheme="minorHAnsi"/>
          <w:b/>
          <w:bCs/>
          <w:sz w:val="24"/>
          <w:szCs w:val="24"/>
        </w:rPr>
      </w:pPr>
      <w:bookmarkStart w:id="11" w:name="_Toc128666859"/>
      <w:bookmarkStart w:id="12" w:name="_Toc129256694"/>
      <w:r w:rsidRPr="0041791D">
        <w:rPr>
          <w:rFonts w:eastAsia="Times New Roman" w:cstheme="minorHAnsi"/>
          <w:b/>
          <w:bCs/>
          <w:sz w:val="24"/>
          <w:szCs w:val="24"/>
        </w:rPr>
        <w:t>Common Terms</w:t>
      </w:r>
      <w:bookmarkEnd w:id="11"/>
      <w:r>
        <w:rPr>
          <w:rFonts w:eastAsia="Times New Roman" w:cstheme="minorHAnsi"/>
          <w:b/>
          <w:bCs/>
          <w:sz w:val="24"/>
          <w:szCs w:val="24"/>
        </w:rPr>
        <w:t xml:space="preserve"> and </w:t>
      </w:r>
      <w:commentRangeStart w:id="13"/>
      <w:r w:rsidRPr="00712D45">
        <w:rPr>
          <w:rFonts w:eastAsia="Calibri" w:cstheme="minorHAnsi"/>
          <w:b/>
          <w:sz w:val="24"/>
          <w:szCs w:val="24"/>
        </w:rPr>
        <w:t>Definitions</w:t>
      </w:r>
      <w:commentRangeEnd w:id="13"/>
      <w:r w:rsidRPr="00712D45">
        <w:rPr>
          <w:rFonts w:eastAsia="Calibri" w:cstheme="minorHAnsi"/>
          <w:sz w:val="24"/>
          <w:szCs w:val="24"/>
        </w:rPr>
        <w:commentReference w:id="13"/>
      </w:r>
      <w:bookmarkEnd w:id="12"/>
    </w:p>
    <w:p w14:paraId="0AA7B4CB" w14:textId="77777777" w:rsidR="006F646F" w:rsidRDefault="006F646F" w:rsidP="006F646F">
      <w:pPr>
        <w:ind w:left="360"/>
        <w:rPr>
          <w:rFonts w:eastAsia="Calibri" w:cstheme="minorHAnsi"/>
          <w:sz w:val="24"/>
          <w:szCs w:val="24"/>
        </w:rPr>
      </w:pPr>
      <w:r>
        <w:rPr>
          <w:rFonts w:eastAsia="Calibri" w:cstheme="minorHAnsi"/>
          <w:b/>
          <w:iCs/>
          <w:sz w:val="24"/>
          <w:szCs w:val="24"/>
        </w:rPr>
        <w:t>Landfill</w:t>
      </w:r>
      <w:r w:rsidRPr="0041791D">
        <w:rPr>
          <w:rFonts w:eastAsia="Calibri" w:cstheme="minorHAnsi"/>
          <w:iCs/>
          <w:sz w:val="24"/>
          <w:szCs w:val="24"/>
        </w:rPr>
        <w:t>:</w:t>
      </w:r>
      <w:r>
        <w:rPr>
          <w:rFonts w:eastAsia="Calibri" w:cstheme="minorHAnsi"/>
          <w:sz w:val="24"/>
          <w:szCs w:val="24"/>
        </w:rPr>
        <w:t xml:space="preserve"> </w:t>
      </w:r>
      <w:r w:rsidRPr="0041791D">
        <w:rPr>
          <w:rFonts w:eastAsia="Calibri" w:cstheme="minorHAnsi"/>
          <w:sz w:val="24"/>
          <w:szCs w:val="24"/>
        </w:rPr>
        <w:t>Landfill means a facility for the disposal of solid waste involving the placement of solid waste on or beneath the land surface. ORS 459.005(14)</w:t>
      </w:r>
    </w:p>
    <w:p w14:paraId="5ECF7B94" w14:textId="77777777" w:rsidR="006F646F" w:rsidRPr="00712D45" w:rsidRDefault="006F646F" w:rsidP="006F646F">
      <w:pPr>
        <w:ind w:left="360"/>
        <w:rPr>
          <w:rFonts w:eastAsia="Calibri" w:cstheme="minorHAnsi"/>
          <w:b/>
          <w:bCs/>
          <w:sz w:val="24"/>
          <w:szCs w:val="24"/>
        </w:rPr>
      </w:pPr>
      <w:r w:rsidRPr="00730315">
        <w:rPr>
          <w:rFonts w:eastAsia="Calibri" w:cstheme="minorHAnsi"/>
          <w:b/>
          <w:bCs/>
          <w:sz w:val="24"/>
          <w:szCs w:val="24"/>
        </w:rPr>
        <w:t>Sanitary Landfill:</w:t>
      </w:r>
      <w:r>
        <w:rPr>
          <w:rFonts w:eastAsia="Calibri" w:cstheme="minorHAnsi"/>
          <w:b/>
          <w:bCs/>
          <w:sz w:val="24"/>
          <w:szCs w:val="24"/>
        </w:rPr>
        <w:t xml:space="preserve"> </w:t>
      </w:r>
      <w:r w:rsidRPr="0041791D">
        <w:rPr>
          <w:rFonts w:eastAsia="Calibri" w:cstheme="minorHAnsi"/>
          <w:sz w:val="24"/>
          <w:szCs w:val="24"/>
        </w:rPr>
        <w:t>Sanitary landfills are intended as biological reactors (bioreactors) in which microbes will break down complex organic waste into simpler, less toxic compounds over time.</w:t>
      </w:r>
    </w:p>
    <w:p w14:paraId="58C4C092" w14:textId="77777777" w:rsidR="006F646F" w:rsidRPr="00712D45" w:rsidRDefault="006F646F" w:rsidP="006F646F">
      <w:pPr>
        <w:ind w:left="360"/>
        <w:rPr>
          <w:rFonts w:eastAsia="Calibri" w:cstheme="minorHAnsi"/>
          <w:b/>
          <w:bCs/>
          <w:sz w:val="24"/>
          <w:szCs w:val="24"/>
        </w:rPr>
      </w:pPr>
      <w:r w:rsidRPr="00730315">
        <w:rPr>
          <w:rFonts w:eastAsia="Calibri" w:cstheme="minorHAnsi"/>
          <w:b/>
          <w:bCs/>
          <w:sz w:val="24"/>
          <w:szCs w:val="24"/>
        </w:rPr>
        <w:t>Disposal Site</w:t>
      </w:r>
      <w:r>
        <w:rPr>
          <w:rFonts w:eastAsia="Calibri" w:cstheme="minorHAnsi"/>
          <w:b/>
          <w:bCs/>
          <w:sz w:val="24"/>
          <w:szCs w:val="24"/>
        </w:rPr>
        <w:t xml:space="preserve">: </w:t>
      </w:r>
      <w:r w:rsidRPr="0041791D">
        <w:rPr>
          <w:rFonts w:eastAsia="Calibri" w:cstheme="minorHAnsi"/>
          <w:sz w:val="24"/>
          <w:szCs w:val="24"/>
        </w:rPr>
        <w:t xml:space="preserve">Disposal site means land and facilities used for the disposal, handling or transfer of, or energy  recovery, material recovery and recycling from solid wastes, including but not limited to dumps, landfills, sludge lagoons, sludge treatment facilities, disposal sites for septic tank pumping or cesspool cleaning service, transfer stations, energy recovery facilities, incinerators for solid waste delivered by the public or by a collection service, composting plants and land and facilities previously used for solid waste disposal at a land disposal site.  ORS 459.005 (8) </w:t>
      </w:r>
    </w:p>
    <w:p w14:paraId="0F1C78C9" w14:textId="77777777" w:rsidR="006F646F" w:rsidRPr="00712D45" w:rsidRDefault="006F646F" w:rsidP="006F646F">
      <w:pPr>
        <w:ind w:left="360"/>
        <w:rPr>
          <w:rFonts w:eastAsia="Calibri" w:cstheme="minorHAnsi"/>
          <w:b/>
          <w:bCs/>
          <w:sz w:val="24"/>
          <w:szCs w:val="24"/>
        </w:rPr>
      </w:pPr>
      <w:r w:rsidRPr="00730315">
        <w:rPr>
          <w:rFonts w:eastAsia="Calibri" w:cstheme="minorHAnsi"/>
          <w:b/>
          <w:bCs/>
          <w:sz w:val="24"/>
          <w:szCs w:val="24"/>
        </w:rPr>
        <w:t>Regional Disposal Site:</w:t>
      </w:r>
      <w:r>
        <w:rPr>
          <w:rFonts w:eastAsia="Calibri" w:cstheme="minorHAnsi"/>
          <w:b/>
          <w:bCs/>
          <w:sz w:val="24"/>
          <w:szCs w:val="24"/>
        </w:rPr>
        <w:t xml:space="preserve"> </w:t>
      </w:r>
      <w:r w:rsidRPr="0041791D">
        <w:rPr>
          <w:rFonts w:eastAsia="Calibri" w:cstheme="minorHAnsi"/>
          <w:sz w:val="24"/>
          <w:szCs w:val="24"/>
        </w:rPr>
        <w:t>Regional disposal site means a disposal site that receives, or a proposed disposal site that is designed to receive more than 75,000 tons of solid waste a year from outside the immediate service area in which the disposal site is located. As used in this subsection, “immediate service area” means the county boundary of all counties except a county that is within the boundary of the metropolitan service district. For a county within the metropolitan service district, “immediate service area” means the metropolitan service district boundary.  ORS 459.005 (22)</w:t>
      </w:r>
      <w:r>
        <w:rPr>
          <w:rFonts w:eastAsia="Calibri" w:cstheme="minorHAnsi"/>
          <w:sz w:val="24"/>
          <w:szCs w:val="24"/>
        </w:rPr>
        <w:t xml:space="preserve">. </w:t>
      </w:r>
      <w:r w:rsidRPr="0041791D">
        <w:rPr>
          <w:rFonts w:eastAsia="Calibri" w:cstheme="minorHAnsi"/>
          <w:sz w:val="24"/>
          <w:szCs w:val="24"/>
        </w:rPr>
        <w:t xml:space="preserve">From all </w:t>
      </w:r>
      <w:proofErr w:type="gramStart"/>
      <w:r w:rsidRPr="0041791D">
        <w:rPr>
          <w:rFonts w:eastAsia="Calibri" w:cstheme="minorHAnsi"/>
          <w:sz w:val="24"/>
          <w:szCs w:val="24"/>
        </w:rPr>
        <w:t>particular measures</w:t>
      </w:r>
      <w:proofErr w:type="gramEnd"/>
      <w:r w:rsidRPr="0041791D">
        <w:rPr>
          <w:rFonts w:eastAsia="Calibri" w:cstheme="minorHAnsi"/>
          <w:sz w:val="24"/>
          <w:szCs w:val="24"/>
        </w:rPr>
        <w:t xml:space="preserve">, a landfill is a subset of a disposal site. </w:t>
      </w:r>
    </w:p>
    <w:p w14:paraId="52525F08" w14:textId="77777777" w:rsidR="006F646F" w:rsidRPr="0041791D" w:rsidRDefault="006F646F" w:rsidP="006F646F">
      <w:pPr>
        <w:ind w:left="360"/>
        <w:rPr>
          <w:rFonts w:eastAsia="Calibri" w:cstheme="minorHAnsi"/>
          <w:sz w:val="24"/>
          <w:szCs w:val="24"/>
        </w:rPr>
      </w:pPr>
      <w:r w:rsidRPr="00730315">
        <w:rPr>
          <w:rFonts w:eastAsia="Calibri" w:cstheme="minorHAnsi"/>
          <w:b/>
          <w:bCs/>
          <w:sz w:val="24"/>
          <w:szCs w:val="24"/>
        </w:rPr>
        <w:t>Landfill Cell:</w:t>
      </w:r>
      <w:r>
        <w:rPr>
          <w:rFonts w:eastAsia="Calibri" w:cstheme="minorHAnsi"/>
          <w:sz w:val="24"/>
          <w:szCs w:val="24"/>
        </w:rPr>
        <w:t xml:space="preserve"> </w:t>
      </w:r>
      <w:r w:rsidRPr="0041791D">
        <w:rPr>
          <w:rFonts w:eastAsia="Calibri" w:cstheme="minorHAnsi"/>
          <w:sz w:val="24"/>
          <w:szCs w:val="24"/>
        </w:rPr>
        <w:t>Landfill cell means a discrete volume of a landfill which uses a liner system to provide isolation of solid waste from adjacent cells of solid waste. (RI 250-RICR=140-05-1)</w:t>
      </w:r>
    </w:p>
    <w:p w14:paraId="3D148F99" w14:textId="666ADD93" w:rsidR="006F646F" w:rsidRDefault="006F646F" w:rsidP="006F646F">
      <w:pPr>
        <w:ind w:left="360"/>
        <w:rPr>
          <w:rFonts w:eastAsia="Calibri" w:cstheme="minorHAnsi"/>
          <w:sz w:val="24"/>
          <w:szCs w:val="24"/>
        </w:rPr>
      </w:pPr>
      <w:r w:rsidRPr="00712D45">
        <w:rPr>
          <w:rFonts w:eastAsia="Calibri" w:cstheme="minorHAnsi"/>
          <w:b/>
          <w:bCs/>
          <w:sz w:val="24"/>
          <w:szCs w:val="24"/>
        </w:rPr>
        <w:t>Coffin Butte Landfill:</w:t>
      </w:r>
      <w:r>
        <w:rPr>
          <w:rFonts w:eastAsia="Calibri" w:cstheme="minorHAnsi"/>
          <w:sz w:val="24"/>
          <w:szCs w:val="24"/>
        </w:rPr>
        <w:t xml:space="preserve"> </w:t>
      </w:r>
      <w:r w:rsidRPr="0041791D">
        <w:rPr>
          <w:rFonts w:eastAsia="Calibri" w:cstheme="minorHAnsi"/>
          <w:sz w:val="24"/>
          <w:szCs w:val="24"/>
        </w:rPr>
        <w:t xml:space="preserve">Coffin Butte Landfill is a regional disposal site and an </w:t>
      </w:r>
      <w:commentRangeStart w:id="14"/>
      <w:r w:rsidRPr="0041791D">
        <w:rPr>
          <w:rFonts w:eastAsia="Calibri" w:cstheme="minorHAnsi"/>
          <w:sz w:val="24"/>
          <w:szCs w:val="24"/>
        </w:rPr>
        <w:t xml:space="preserve">engineered sanitary landfill </w:t>
      </w:r>
      <w:commentRangeEnd w:id="14"/>
      <w:r w:rsidRPr="0041791D">
        <w:rPr>
          <w:rFonts w:eastAsia="Calibri" w:cstheme="minorHAnsi"/>
          <w:sz w:val="24"/>
          <w:szCs w:val="24"/>
        </w:rPr>
        <w:commentReference w:id="14"/>
      </w:r>
      <w:r w:rsidRPr="0041791D">
        <w:rPr>
          <w:rFonts w:eastAsia="Calibri" w:cstheme="minorHAnsi"/>
          <w:sz w:val="24"/>
          <w:szCs w:val="24"/>
        </w:rPr>
        <w:t xml:space="preserve">in Benton County, north of Corvallis, located off Coffin Butte Road. </w:t>
      </w:r>
    </w:p>
    <w:p w14:paraId="170D990F" w14:textId="77777777" w:rsidR="006F646F" w:rsidRPr="0041791D" w:rsidRDefault="006F646F" w:rsidP="006F646F">
      <w:pPr>
        <w:ind w:left="360"/>
        <w:rPr>
          <w:rFonts w:eastAsia="Calibri" w:cstheme="minorHAnsi"/>
          <w:iCs/>
          <w:sz w:val="24"/>
          <w:szCs w:val="24"/>
        </w:rPr>
      </w:pPr>
      <w:commentRangeStart w:id="15"/>
      <w:r w:rsidRPr="0041791D">
        <w:rPr>
          <w:rFonts w:eastAsia="Calibri" w:cstheme="minorHAnsi"/>
          <w:b/>
          <w:bCs/>
          <w:iCs/>
          <w:sz w:val="24"/>
          <w:szCs w:val="24"/>
        </w:rPr>
        <w:t>Landfill Life</w:t>
      </w:r>
      <w:r w:rsidRPr="0041791D">
        <w:rPr>
          <w:rFonts w:eastAsia="Calibri" w:cstheme="minorHAnsi"/>
          <w:iCs/>
          <w:sz w:val="24"/>
          <w:szCs w:val="24"/>
        </w:rPr>
        <w:t xml:space="preserve"> </w:t>
      </w:r>
      <w:commentRangeEnd w:id="15"/>
      <w:r w:rsidRPr="0041791D">
        <w:rPr>
          <w:rStyle w:val="CommentReference"/>
          <w:rFonts w:cstheme="minorHAnsi"/>
          <w:sz w:val="24"/>
          <w:szCs w:val="24"/>
        </w:rPr>
        <w:commentReference w:id="15"/>
      </w:r>
      <w:r w:rsidRPr="0041791D">
        <w:rPr>
          <w:rFonts w:eastAsia="Calibri" w:cstheme="minorHAnsi"/>
          <w:iCs/>
          <w:sz w:val="24"/>
          <w:szCs w:val="24"/>
        </w:rPr>
        <w:t xml:space="preserve">≡ Expected time remaining in which the landfill will continue to accept waste, typically in Years. </w:t>
      </w:r>
      <w:commentRangeStart w:id="16"/>
      <w:r w:rsidRPr="00D0156E">
        <w:rPr>
          <w:rFonts w:eastAsia="Calibri" w:cstheme="minorHAnsi"/>
          <w:iCs/>
          <w:sz w:val="24"/>
          <w:szCs w:val="24"/>
        </w:rPr>
        <w:t xml:space="preserve">Landfill Life </w:t>
      </w:r>
      <w:commentRangeEnd w:id="16"/>
      <w:r w:rsidRPr="00D0156E">
        <w:rPr>
          <w:rStyle w:val="CommentReference"/>
          <w:rFonts w:cstheme="minorHAnsi"/>
          <w:sz w:val="24"/>
          <w:szCs w:val="24"/>
        </w:rPr>
        <w:commentReference w:id="16"/>
      </w:r>
      <w:r w:rsidRPr="00D0156E">
        <w:rPr>
          <w:rFonts w:eastAsia="Calibri" w:cstheme="minorHAnsi"/>
          <w:iCs/>
          <w:sz w:val="24"/>
          <w:szCs w:val="24"/>
        </w:rPr>
        <w:t>(longevity) in a landfill linear economy model is the consumption of its resources in reserve as well as ancillary resources thereby extinguishing its maximum capacity to further dispose refuse?</w:t>
      </w:r>
    </w:p>
    <w:p w14:paraId="7FB5A1EC" w14:textId="77777777" w:rsidR="006F646F" w:rsidRDefault="006F646F" w:rsidP="006F646F">
      <w:pPr>
        <w:ind w:left="360"/>
        <w:rPr>
          <w:rFonts w:eastAsia="Calibri" w:cstheme="minorHAnsi"/>
          <w:iCs/>
          <w:sz w:val="24"/>
          <w:szCs w:val="24"/>
        </w:rPr>
      </w:pPr>
      <w:r w:rsidRPr="0041791D">
        <w:rPr>
          <w:rFonts w:eastAsia="Calibri" w:cstheme="minorHAnsi"/>
          <w:b/>
          <w:bCs/>
          <w:iCs/>
          <w:sz w:val="24"/>
          <w:szCs w:val="24"/>
        </w:rPr>
        <w:t>End of Life (</w:t>
      </w:r>
      <w:proofErr w:type="gramStart"/>
      <w:r w:rsidRPr="0041791D">
        <w:rPr>
          <w:rFonts w:eastAsia="Calibri" w:cstheme="minorHAnsi"/>
          <w:b/>
          <w:bCs/>
          <w:iCs/>
          <w:sz w:val="24"/>
          <w:szCs w:val="24"/>
        </w:rPr>
        <w:t>EOL)</w:t>
      </w:r>
      <w:r w:rsidRPr="0041791D">
        <w:rPr>
          <w:rFonts w:eastAsia="Calibri" w:cstheme="minorHAnsi"/>
          <w:iCs/>
          <w:sz w:val="24"/>
          <w:szCs w:val="24"/>
        </w:rPr>
        <w:t xml:space="preserve">  ≡</w:t>
      </w:r>
      <w:proofErr w:type="gramEnd"/>
      <w:r w:rsidRPr="0041791D">
        <w:rPr>
          <w:rFonts w:eastAsia="Calibri" w:cstheme="minorHAnsi"/>
          <w:iCs/>
          <w:sz w:val="24"/>
          <w:szCs w:val="24"/>
        </w:rPr>
        <w:t xml:space="preserve"> Expected calendar date when the landfill ceases to accept waste, typically in Calendar Years AD.</w:t>
      </w:r>
    </w:p>
    <w:p w14:paraId="7611D3E4" w14:textId="77777777" w:rsidR="006F646F" w:rsidRPr="00576493" w:rsidRDefault="006F646F" w:rsidP="006F646F">
      <w:pPr>
        <w:ind w:left="360"/>
        <w:rPr>
          <w:rFonts w:eastAsia="Calibri" w:cstheme="minorHAnsi"/>
          <w:b/>
          <w:iCs/>
          <w:sz w:val="24"/>
          <w:szCs w:val="24"/>
        </w:rPr>
      </w:pPr>
      <w:r w:rsidRPr="0018510A">
        <w:rPr>
          <w:rFonts w:eastAsia="Calibri" w:cstheme="minorHAnsi"/>
          <w:b/>
          <w:iCs/>
          <w:sz w:val="24"/>
          <w:szCs w:val="24"/>
        </w:rPr>
        <w:t>Remaining Landfill Life (longevity):</w:t>
      </w:r>
      <w:r>
        <w:rPr>
          <w:rFonts w:eastAsia="Calibri" w:cstheme="minorHAnsi"/>
          <w:bCs/>
          <w:iCs/>
          <w:sz w:val="24"/>
          <w:szCs w:val="24"/>
        </w:rPr>
        <w:t xml:space="preserve"> T</w:t>
      </w:r>
      <w:r w:rsidRPr="0041791D">
        <w:rPr>
          <w:rFonts w:eastAsia="Calibri" w:cstheme="minorHAnsi"/>
          <w:bCs/>
          <w:iCs/>
          <w:sz w:val="24"/>
          <w:szCs w:val="24"/>
        </w:rPr>
        <w:t xml:space="preserve">he available timeline a landfill will remain open to accept waste placement into </w:t>
      </w:r>
      <w:proofErr w:type="spellStart"/>
      <w:r w:rsidRPr="0041791D">
        <w:rPr>
          <w:rFonts w:eastAsia="Calibri" w:cstheme="minorHAnsi"/>
          <w:bCs/>
          <w:iCs/>
          <w:sz w:val="24"/>
          <w:szCs w:val="24"/>
        </w:rPr>
        <w:t>it’s</w:t>
      </w:r>
      <w:proofErr w:type="spellEnd"/>
      <w:r w:rsidRPr="0041791D">
        <w:rPr>
          <w:rFonts w:eastAsia="Calibri" w:cstheme="minorHAnsi"/>
          <w:bCs/>
          <w:iCs/>
          <w:sz w:val="24"/>
          <w:szCs w:val="24"/>
        </w:rPr>
        <w:t xml:space="preserve"> permitted capacity.</w:t>
      </w:r>
      <w:r w:rsidRPr="0041791D">
        <w:rPr>
          <w:rFonts w:eastAsia="Calibri" w:cstheme="minorHAnsi"/>
          <w:b/>
          <w:iCs/>
          <w:sz w:val="24"/>
          <w:szCs w:val="24"/>
        </w:rPr>
        <w:t xml:space="preserve">  </w:t>
      </w:r>
    </w:p>
    <w:p w14:paraId="24FAC718" w14:textId="77777777" w:rsidR="006F646F" w:rsidRPr="0041791D" w:rsidRDefault="006F646F" w:rsidP="006F646F">
      <w:pPr>
        <w:ind w:left="360"/>
        <w:rPr>
          <w:rFonts w:eastAsia="Calibri" w:cstheme="minorHAnsi"/>
          <w:iCs/>
          <w:sz w:val="24"/>
          <w:szCs w:val="24"/>
        </w:rPr>
      </w:pPr>
      <w:commentRangeStart w:id="17"/>
      <w:r w:rsidRPr="0041791D">
        <w:rPr>
          <w:rFonts w:eastAsia="Calibri" w:cstheme="minorHAnsi"/>
          <w:b/>
          <w:bCs/>
          <w:iCs/>
          <w:sz w:val="24"/>
          <w:szCs w:val="24"/>
        </w:rPr>
        <w:t xml:space="preserve">Franchisee, </w:t>
      </w:r>
      <w:commentRangeEnd w:id="17"/>
      <w:r w:rsidRPr="0041791D">
        <w:rPr>
          <w:rFonts w:eastAsia="Calibri" w:cstheme="minorHAnsi"/>
          <w:b/>
          <w:bCs/>
          <w:iCs/>
          <w:sz w:val="24"/>
          <w:szCs w:val="24"/>
        </w:rPr>
        <w:commentReference w:id="17"/>
      </w:r>
      <w:r w:rsidRPr="0041791D">
        <w:rPr>
          <w:rFonts w:eastAsia="Calibri" w:cstheme="minorHAnsi"/>
          <w:b/>
          <w:bCs/>
          <w:iCs/>
          <w:sz w:val="24"/>
          <w:szCs w:val="24"/>
        </w:rPr>
        <w:t>landfill owner</w:t>
      </w:r>
      <w:r>
        <w:rPr>
          <w:rFonts w:eastAsia="Calibri" w:cstheme="minorHAnsi"/>
          <w:b/>
          <w:bCs/>
          <w:iCs/>
          <w:sz w:val="24"/>
          <w:szCs w:val="24"/>
        </w:rPr>
        <w:t>, landfill operator</w:t>
      </w:r>
      <w:r w:rsidRPr="0041791D">
        <w:rPr>
          <w:rFonts w:eastAsia="Calibri" w:cstheme="minorHAnsi"/>
          <w:iCs/>
          <w:sz w:val="24"/>
          <w:szCs w:val="24"/>
        </w:rPr>
        <w:t xml:space="preserve"> = </w:t>
      </w:r>
      <w:commentRangeStart w:id="18"/>
      <w:r w:rsidRPr="0041791D">
        <w:rPr>
          <w:rFonts w:eastAsia="Calibri" w:cstheme="minorHAnsi"/>
          <w:iCs/>
          <w:sz w:val="24"/>
          <w:szCs w:val="24"/>
        </w:rPr>
        <w:t>Republic Services</w:t>
      </w:r>
      <w:commentRangeEnd w:id="18"/>
      <w:r w:rsidRPr="0041791D">
        <w:rPr>
          <w:rStyle w:val="CommentReference"/>
          <w:rFonts w:cstheme="minorHAnsi"/>
          <w:sz w:val="24"/>
          <w:szCs w:val="24"/>
        </w:rPr>
        <w:commentReference w:id="18"/>
      </w:r>
      <w:r>
        <w:rPr>
          <w:rFonts w:eastAsia="Calibri" w:cstheme="minorHAnsi"/>
          <w:iCs/>
          <w:sz w:val="24"/>
          <w:szCs w:val="24"/>
        </w:rPr>
        <w:t xml:space="preserve">/ Valley Landfills, Inc. </w:t>
      </w:r>
      <w:r w:rsidRPr="006A2D5D">
        <w:rPr>
          <w:rFonts w:eastAsia="Calibri" w:cstheme="minorHAnsi"/>
          <w:iCs/>
          <w:sz w:val="24"/>
          <w:szCs w:val="24"/>
        </w:rPr>
        <w:t>Republic Services has been the owner/operator of Coffin Butte Landfill since 2008</w:t>
      </w:r>
      <w:r>
        <w:rPr>
          <w:rFonts w:eastAsia="Calibri" w:cstheme="minorHAnsi"/>
          <w:iCs/>
          <w:sz w:val="24"/>
          <w:szCs w:val="24"/>
        </w:rPr>
        <w:t>.</w:t>
      </w:r>
    </w:p>
    <w:p w14:paraId="43B4A189" w14:textId="77777777" w:rsidR="006F646F" w:rsidRPr="0041791D" w:rsidRDefault="006F646F" w:rsidP="006F646F">
      <w:pPr>
        <w:ind w:left="360"/>
        <w:rPr>
          <w:rFonts w:eastAsia="Calibri" w:cstheme="minorHAnsi"/>
          <w:iCs/>
          <w:sz w:val="24"/>
          <w:szCs w:val="24"/>
        </w:rPr>
      </w:pPr>
      <w:r w:rsidRPr="0041791D">
        <w:rPr>
          <w:rFonts w:eastAsia="Calibri" w:cstheme="minorHAnsi"/>
          <w:b/>
          <w:iCs/>
          <w:sz w:val="24"/>
          <w:szCs w:val="24"/>
        </w:rPr>
        <w:t xml:space="preserve">Intake Tonnage: </w:t>
      </w:r>
      <w:r w:rsidRPr="0041791D">
        <w:rPr>
          <w:rFonts w:eastAsia="Calibri" w:cstheme="minorHAnsi"/>
          <w:iCs/>
          <w:sz w:val="24"/>
          <w:szCs w:val="24"/>
        </w:rPr>
        <w:t xml:space="preserve"> The total quantity of solid waste accepted at the landfill in US short Tons (1 Ton = 2000 lbs.).  Conversion to airspace volume in cubic yards (yd</w:t>
      </w:r>
      <w:r w:rsidRPr="0041791D">
        <w:rPr>
          <w:rFonts w:eastAsia="Calibri" w:cstheme="minorHAnsi"/>
          <w:iCs/>
          <w:sz w:val="24"/>
          <w:szCs w:val="24"/>
          <w:vertAlign w:val="superscript"/>
        </w:rPr>
        <w:t>3</w:t>
      </w:r>
      <w:r w:rsidRPr="0041791D">
        <w:rPr>
          <w:rFonts w:eastAsia="Calibri" w:cstheme="minorHAnsi"/>
          <w:iCs/>
          <w:sz w:val="24"/>
          <w:szCs w:val="24"/>
        </w:rPr>
        <w:t>) is obtained by mathematically dividing the Intake Tonnage value by the density figure provided by the franchisee for the relevant period (stated in Tons/yd</w:t>
      </w:r>
      <w:r w:rsidRPr="0041791D">
        <w:rPr>
          <w:rFonts w:eastAsia="Calibri" w:cstheme="minorHAnsi"/>
          <w:iCs/>
          <w:sz w:val="24"/>
          <w:szCs w:val="24"/>
          <w:vertAlign w:val="superscript"/>
        </w:rPr>
        <w:t>3</w:t>
      </w:r>
      <w:r w:rsidRPr="0041791D">
        <w:rPr>
          <w:rFonts w:eastAsia="Calibri" w:cstheme="minorHAnsi"/>
          <w:iCs/>
          <w:sz w:val="24"/>
          <w:szCs w:val="24"/>
        </w:rPr>
        <w:t>).</w:t>
      </w:r>
    </w:p>
    <w:p w14:paraId="03A5D8FE" w14:textId="77777777" w:rsidR="006F646F" w:rsidRPr="00712D45" w:rsidRDefault="006F646F" w:rsidP="006F646F">
      <w:pPr>
        <w:ind w:left="360"/>
        <w:rPr>
          <w:rFonts w:eastAsia="Calibri" w:cstheme="minorHAnsi"/>
          <w:bCs/>
          <w:iCs/>
          <w:sz w:val="24"/>
          <w:szCs w:val="24"/>
        </w:rPr>
      </w:pPr>
      <w:r w:rsidRPr="0041791D">
        <w:rPr>
          <w:rFonts w:eastAsia="Calibri" w:cstheme="minorHAnsi"/>
          <w:b/>
          <w:iCs/>
          <w:sz w:val="24"/>
          <w:szCs w:val="24"/>
        </w:rPr>
        <w:t xml:space="preserve">Permitted </w:t>
      </w:r>
      <w:r>
        <w:rPr>
          <w:rFonts w:eastAsia="Calibri" w:cstheme="minorHAnsi"/>
          <w:b/>
          <w:iCs/>
          <w:sz w:val="24"/>
          <w:szCs w:val="24"/>
        </w:rPr>
        <w:t>Air</w:t>
      </w:r>
      <w:r w:rsidRPr="0041791D">
        <w:rPr>
          <w:rFonts w:eastAsia="Calibri" w:cstheme="minorHAnsi"/>
          <w:b/>
          <w:iCs/>
          <w:sz w:val="24"/>
          <w:szCs w:val="24"/>
        </w:rPr>
        <w:t>space</w:t>
      </w:r>
      <w:r>
        <w:rPr>
          <w:rFonts w:eastAsia="Calibri" w:cstheme="minorHAnsi"/>
          <w:b/>
          <w:iCs/>
          <w:sz w:val="24"/>
          <w:szCs w:val="24"/>
        </w:rPr>
        <w:t>:</w:t>
      </w:r>
      <w:r w:rsidRPr="0041791D">
        <w:rPr>
          <w:rFonts w:eastAsia="Calibri" w:cstheme="minorHAnsi"/>
          <w:b/>
          <w:iCs/>
          <w:sz w:val="24"/>
          <w:szCs w:val="24"/>
        </w:rPr>
        <w:t xml:space="preserve"> </w:t>
      </w:r>
      <w:r>
        <w:rPr>
          <w:rFonts w:eastAsia="Calibri" w:cstheme="minorHAnsi"/>
          <w:bCs/>
          <w:iCs/>
          <w:sz w:val="24"/>
          <w:szCs w:val="24"/>
        </w:rPr>
        <w:t>T</w:t>
      </w:r>
      <w:r w:rsidRPr="0041791D">
        <w:rPr>
          <w:rFonts w:eastAsia="Calibri" w:cstheme="minorHAnsi"/>
          <w:bCs/>
          <w:iCs/>
          <w:sz w:val="24"/>
          <w:szCs w:val="24"/>
        </w:rPr>
        <w:t>he physical volume available for the placement of solid waste. Benton County approves the land use for the landfill’s footprint. However, DEQ and the franchisee (Valley Landfills Inc.), approve the cell design that determines the physical volume available. “Airspace” is the resulting volume left within the permitted space for the disposal of solid waste.</w:t>
      </w:r>
      <w:r>
        <w:rPr>
          <w:rFonts w:eastAsia="Calibri" w:cstheme="minorHAnsi"/>
          <w:bCs/>
          <w:iCs/>
          <w:sz w:val="24"/>
          <w:szCs w:val="24"/>
        </w:rPr>
        <w:t xml:space="preserve"> </w:t>
      </w:r>
      <w:r w:rsidRPr="00D0156E">
        <w:rPr>
          <w:rFonts w:ascii="Calibri" w:eastAsia="Calibri" w:hAnsi="Calibri" w:cs="Calibri"/>
          <w:sz w:val="24"/>
          <w:szCs w:val="24"/>
        </w:rPr>
        <w:t xml:space="preserve">Permitted airspace refers to the maximum amount of space that is authorized by regulatory agencies for use as a landfill. It is typically specified in a landfill's permit issued by the relevant regulatory agency, and it represents the total volume of waste that the landfill is permitted to accept over its operating life. The permitted airspace </w:t>
      </w:r>
      <w:proofErr w:type="gramStart"/>
      <w:r w:rsidRPr="00D0156E">
        <w:rPr>
          <w:rFonts w:ascii="Calibri" w:eastAsia="Calibri" w:hAnsi="Calibri" w:cs="Calibri"/>
          <w:sz w:val="24"/>
          <w:szCs w:val="24"/>
        </w:rPr>
        <w:t>takes into account</w:t>
      </w:r>
      <w:proofErr w:type="gramEnd"/>
      <w:r w:rsidRPr="00D0156E">
        <w:rPr>
          <w:rFonts w:ascii="Calibri" w:eastAsia="Calibri" w:hAnsi="Calibri" w:cs="Calibri"/>
          <w:sz w:val="24"/>
          <w:szCs w:val="24"/>
        </w:rPr>
        <w:t xml:space="preserve"> various factors, such as the size of the landfill, the type of waste it can accept, the geology and hydrology of the area, and the potential environmental impacts of the landfill. It is important for landfill operators to carefully manage their landfill to ensure that they do not exceed their permitted airspace and to minimize the environmental impact of their operations. Exceeding permitted airspace can result in fines or other regulatory </w:t>
      </w:r>
      <w:proofErr w:type="gramStart"/>
      <w:r w:rsidRPr="00D0156E">
        <w:rPr>
          <w:rFonts w:ascii="Calibri" w:eastAsia="Calibri" w:hAnsi="Calibri" w:cs="Calibri"/>
          <w:sz w:val="24"/>
          <w:szCs w:val="24"/>
        </w:rPr>
        <w:t>actions, and</w:t>
      </w:r>
      <w:proofErr w:type="gramEnd"/>
      <w:r w:rsidRPr="00D0156E">
        <w:rPr>
          <w:rFonts w:ascii="Calibri" w:eastAsia="Calibri" w:hAnsi="Calibri" w:cs="Calibri"/>
          <w:sz w:val="24"/>
          <w:szCs w:val="24"/>
        </w:rPr>
        <w:t xml:space="preserve"> can also have significant environmental consequences.</w:t>
      </w:r>
    </w:p>
    <w:p w14:paraId="0C82420C" w14:textId="77777777" w:rsidR="006F646F" w:rsidRPr="00712D45" w:rsidRDefault="006F646F" w:rsidP="006F646F">
      <w:pPr>
        <w:ind w:left="360"/>
        <w:rPr>
          <w:rFonts w:eastAsia="Calibri" w:cstheme="minorHAnsi"/>
          <w:iCs/>
          <w:sz w:val="24"/>
          <w:szCs w:val="24"/>
        </w:rPr>
      </w:pPr>
      <w:r w:rsidRPr="0041791D">
        <w:rPr>
          <w:rFonts w:eastAsia="Calibri" w:cstheme="minorHAnsi"/>
          <w:b/>
          <w:iCs/>
          <w:sz w:val="24"/>
          <w:szCs w:val="24"/>
        </w:rPr>
        <w:t>Service Area</w:t>
      </w:r>
      <w:r w:rsidRPr="0041791D">
        <w:rPr>
          <w:rFonts w:eastAsia="Calibri" w:cstheme="minorHAnsi"/>
          <w:iCs/>
          <w:sz w:val="24"/>
          <w:szCs w:val="24"/>
        </w:rPr>
        <w:t>:</w:t>
      </w:r>
      <w:r>
        <w:rPr>
          <w:rFonts w:eastAsia="Calibri" w:cstheme="minorHAnsi"/>
          <w:iCs/>
          <w:sz w:val="24"/>
          <w:szCs w:val="24"/>
        </w:rPr>
        <w:t xml:space="preserve"> </w:t>
      </w:r>
      <w:r w:rsidRPr="0041791D">
        <w:rPr>
          <w:rFonts w:eastAsia="Calibri" w:cstheme="minorHAnsi"/>
          <w:bCs/>
          <w:iCs/>
          <w:sz w:val="24"/>
          <w:szCs w:val="24"/>
        </w:rPr>
        <w:t>Total geographic area from which waste feeds into Coffin Butte Landfill.</w:t>
      </w:r>
      <w:r>
        <w:rPr>
          <w:rFonts w:eastAsia="Calibri" w:cstheme="minorHAnsi"/>
          <w:bCs/>
          <w:iCs/>
          <w:sz w:val="24"/>
          <w:szCs w:val="24"/>
        </w:rPr>
        <w:t xml:space="preserve"> </w:t>
      </w:r>
      <w:r>
        <w:rPr>
          <w:rFonts w:eastAsia="Calibri" w:cstheme="minorHAnsi"/>
          <w:iCs/>
          <w:sz w:val="24"/>
          <w:szCs w:val="24"/>
        </w:rPr>
        <w:t>These areas represent the geographic area of the landfill’s customer base, which is not constant and may change over time based on business choices of the landfill.</w:t>
      </w:r>
    </w:p>
    <w:p w14:paraId="27B0B776" w14:textId="77777777" w:rsidR="006F646F" w:rsidRDefault="006F646F" w:rsidP="006F646F">
      <w:pPr>
        <w:ind w:left="360"/>
        <w:rPr>
          <w:rFonts w:ascii="Calibri" w:eastAsia="Calibri" w:hAnsi="Calibri" w:cs="Calibri"/>
          <w:sz w:val="24"/>
          <w:szCs w:val="24"/>
        </w:rPr>
      </w:pPr>
      <w:commentRangeStart w:id="19"/>
      <w:r>
        <w:rPr>
          <w:rFonts w:ascii="Calibri" w:eastAsia="Calibri" w:hAnsi="Calibri" w:cs="Calibri"/>
          <w:b/>
          <w:sz w:val="24"/>
          <w:szCs w:val="24"/>
        </w:rPr>
        <w:t>Landfill threshold:</w:t>
      </w:r>
      <w:r>
        <w:rPr>
          <w:rFonts w:ascii="Calibri" w:eastAsia="Calibri" w:hAnsi="Calibri" w:cs="Calibri"/>
          <w:sz w:val="24"/>
          <w:szCs w:val="24"/>
        </w:rPr>
        <w:t xml:space="preserve"> A landfill threshold, also known as a fill line, is the designated level or height within a landfill at which waste is no longer allowed to be deposited. It represents the maximum height to which a landfill can be filled, as determined by regulatory agencies and landfill permits. The threshold is typically marked by a physical barrier or layer of </w:t>
      </w:r>
      <w:proofErr w:type="gramStart"/>
      <w:r>
        <w:rPr>
          <w:rFonts w:ascii="Calibri" w:eastAsia="Calibri" w:hAnsi="Calibri" w:cs="Calibri"/>
          <w:sz w:val="24"/>
          <w:szCs w:val="24"/>
        </w:rPr>
        <w:t>soil, and</w:t>
      </w:r>
      <w:proofErr w:type="gramEnd"/>
      <w:r>
        <w:rPr>
          <w:rFonts w:ascii="Calibri" w:eastAsia="Calibri" w:hAnsi="Calibri" w:cs="Calibri"/>
          <w:sz w:val="24"/>
          <w:szCs w:val="24"/>
        </w:rPr>
        <w:t xml:space="preserve"> is designed to ensure that the landfill does not exceed its permitted airspace or pose a risk to public health and the environment.</w:t>
      </w:r>
      <w:commentRangeEnd w:id="19"/>
      <w:r>
        <w:rPr>
          <w:rStyle w:val="CommentReference"/>
          <w:rFonts w:ascii="Palatino Linotype" w:hAnsi="Palatino Linotype"/>
        </w:rPr>
        <w:commentReference w:id="19"/>
      </w:r>
    </w:p>
    <w:p w14:paraId="417AE150" w14:textId="77777777" w:rsidR="006F646F" w:rsidRPr="0041791D" w:rsidRDefault="006F646F" w:rsidP="006F646F">
      <w:pPr>
        <w:ind w:left="360"/>
        <w:rPr>
          <w:rFonts w:eastAsia="Calibri" w:cstheme="minorHAnsi"/>
          <w:iCs/>
          <w:sz w:val="24"/>
          <w:szCs w:val="24"/>
        </w:rPr>
      </w:pPr>
      <w:r w:rsidRPr="0041791D">
        <w:rPr>
          <w:rFonts w:eastAsia="Calibri" w:cstheme="minorHAnsi"/>
          <w:b/>
          <w:iCs/>
          <w:sz w:val="24"/>
          <w:szCs w:val="24"/>
        </w:rPr>
        <w:t>2000 Landfill Franchise Agreement</w:t>
      </w:r>
      <w:r w:rsidRPr="0041791D">
        <w:rPr>
          <w:rFonts w:eastAsia="Calibri" w:cstheme="minorHAnsi"/>
          <w:iCs/>
          <w:sz w:val="24"/>
          <w:szCs w:val="24"/>
        </w:rPr>
        <w:t xml:space="preserve">: The 2000 Landfill Franchise Agreement between Benton County and Valley Landfills Inc., signed December 31, </w:t>
      </w:r>
      <w:proofErr w:type="gramStart"/>
      <w:r w:rsidRPr="0041791D">
        <w:rPr>
          <w:rFonts w:eastAsia="Calibri" w:cstheme="minorHAnsi"/>
          <w:iCs/>
          <w:sz w:val="24"/>
          <w:szCs w:val="24"/>
        </w:rPr>
        <w:t>2000</w:t>
      </w:r>
      <w:proofErr w:type="gramEnd"/>
      <w:r w:rsidRPr="0041791D">
        <w:rPr>
          <w:rFonts w:eastAsia="Calibri" w:cstheme="minorHAnsi"/>
          <w:iCs/>
          <w:sz w:val="24"/>
          <w:szCs w:val="24"/>
        </w:rPr>
        <w:t xml:space="preserve"> and effective </w:t>
      </w:r>
      <w:r w:rsidRPr="00FE1361">
        <w:rPr>
          <w:rFonts w:eastAsia="Calibri" w:cstheme="minorHAnsi"/>
          <w:iCs/>
          <w:sz w:val="24"/>
          <w:szCs w:val="24"/>
        </w:rPr>
        <w:t xml:space="preserve">from December 31, 2000 </w:t>
      </w:r>
      <w:r w:rsidRPr="0041791D">
        <w:rPr>
          <w:rFonts w:eastAsia="Calibri" w:cstheme="minorHAnsi"/>
          <w:iCs/>
          <w:sz w:val="24"/>
          <w:szCs w:val="24"/>
        </w:rPr>
        <w:t>until December 31, 2020.</w:t>
      </w:r>
    </w:p>
    <w:p w14:paraId="2222A3CA" w14:textId="77777777" w:rsidR="006F646F" w:rsidRPr="0041791D" w:rsidRDefault="006F646F" w:rsidP="006F646F">
      <w:pPr>
        <w:ind w:left="360"/>
        <w:rPr>
          <w:rFonts w:eastAsia="Calibri" w:cstheme="minorHAnsi"/>
          <w:iCs/>
          <w:sz w:val="24"/>
          <w:szCs w:val="24"/>
        </w:rPr>
      </w:pPr>
      <w:r w:rsidRPr="0041791D">
        <w:rPr>
          <w:rFonts w:eastAsia="Calibri" w:cstheme="minorHAnsi"/>
          <w:b/>
          <w:iCs/>
          <w:sz w:val="24"/>
          <w:szCs w:val="24"/>
        </w:rPr>
        <w:t>2000 Intake Threshold</w:t>
      </w:r>
      <w:r w:rsidRPr="0041791D">
        <w:rPr>
          <w:rFonts w:eastAsia="Calibri" w:cstheme="minorHAnsi"/>
          <w:iCs/>
          <w:sz w:val="24"/>
          <w:szCs w:val="24"/>
        </w:rPr>
        <w:t>: The intake tonnage level specified mathematically in the 2000 Landfill Franchise Agreement.  If the volume of solid waste accepted at the landfill in any calendar year exceeded the annual level, or if the cumulative volume of solid waste accepted at the landfill in any two consecutive calendar years exceeded the two-year level, the County was allowed, at its expense, to perform a new Baseline assessment, and if the County determined this assessment indicated an adverse impact relative to the 2001 Baseline Study an immediate renegotiation of the Franchise Fee and/or Host Surcharge was required.</w:t>
      </w:r>
    </w:p>
    <w:p w14:paraId="25F23B2D" w14:textId="77777777" w:rsidR="006F646F" w:rsidRPr="0041791D" w:rsidRDefault="006F646F" w:rsidP="006F646F">
      <w:pPr>
        <w:ind w:left="360"/>
        <w:rPr>
          <w:rFonts w:eastAsia="Calibri" w:cstheme="minorHAnsi"/>
          <w:iCs/>
          <w:sz w:val="24"/>
          <w:szCs w:val="24"/>
        </w:rPr>
      </w:pPr>
      <w:r w:rsidRPr="0041791D">
        <w:rPr>
          <w:rFonts w:eastAsia="Calibri" w:cstheme="minorHAnsi"/>
          <w:b/>
          <w:iCs/>
          <w:sz w:val="24"/>
          <w:szCs w:val="24"/>
        </w:rPr>
        <w:t>2001 Baseline Study</w:t>
      </w:r>
      <w:r w:rsidRPr="0041791D">
        <w:rPr>
          <w:rFonts w:eastAsia="Calibri" w:cstheme="minorHAnsi"/>
          <w:iCs/>
          <w:sz w:val="24"/>
          <w:szCs w:val="24"/>
        </w:rPr>
        <w:t>: The assessment of environmental and infrastructure conditions and areas of potential impacts from the volume of solid waste accepted at the landfill, as mandated in the 2000 Landfill Franchise Agreement.  This assessment was completed by the Benton County Health Department with results documented in a report released in 2001.  This study included the following elements: Traffic, Soil Conditions and Contamination Levels, Air Quality, Surface and Groundwater Conditions and Contamination Levels, Noise, Odor, Visual Screening, Litter, Hours of Operation, Solid Waste Control Systems and Compliance with all Solid Waste Permits.</w:t>
      </w:r>
    </w:p>
    <w:p w14:paraId="58D4E910" w14:textId="77777777" w:rsidR="006F646F" w:rsidRPr="0041791D" w:rsidRDefault="006F646F" w:rsidP="006F646F">
      <w:pPr>
        <w:ind w:left="360"/>
        <w:rPr>
          <w:rFonts w:eastAsia="Calibri" w:cstheme="minorHAnsi"/>
          <w:iCs/>
          <w:sz w:val="24"/>
          <w:szCs w:val="24"/>
        </w:rPr>
      </w:pPr>
      <w:r w:rsidRPr="0041791D">
        <w:rPr>
          <w:rFonts w:eastAsia="Calibri" w:cstheme="minorHAnsi"/>
          <w:b/>
          <w:iCs/>
          <w:sz w:val="24"/>
          <w:szCs w:val="24"/>
        </w:rPr>
        <w:t>2020 Landfill Franchise Agreement</w:t>
      </w:r>
      <w:r w:rsidRPr="0041791D">
        <w:rPr>
          <w:rFonts w:eastAsia="Calibri" w:cstheme="minorHAnsi"/>
          <w:iCs/>
          <w:sz w:val="24"/>
          <w:szCs w:val="24"/>
        </w:rPr>
        <w:t xml:space="preserve">: The 2020 Landfill Franchise Agreement between Benton County and Valley Landfills Inc., signed December 21, </w:t>
      </w:r>
      <w:proofErr w:type="gramStart"/>
      <w:r w:rsidRPr="0041791D">
        <w:rPr>
          <w:rFonts w:eastAsia="Calibri" w:cstheme="minorHAnsi"/>
          <w:iCs/>
          <w:sz w:val="24"/>
          <w:szCs w:val="24"/>
        </w:rPr>
        <w:t>2020</w:t>
      </w:r>
      <w:proofErr w:type="gramEnd"/>
      <w:r w:rsidRPr="0041791D">
        <w:rPr>
          <w:rFonts w:eastAsia="Calibri" w:cstheme="minorHAnsi"/>
          <w:iCs/>
          <w:sz w:val="24"/>
          <w:szCs w:val="24"/>
        </w:rPr>
        <w:t xml:space="preserve"> and effective from January 1, 2021 until December 31, 2040.</w:t>
      </w:r>
    </w:p>
    <w:p w14:paraId="7AFE0218" w14:textId="77777777" w:rsidR="006F646F" w:rsidRPr="0041791D" w:rsidRDefault="006F646F" w:rsidP="006F646F">
      <w:pPr>
        <w:ind w:left="360"/>
        <w:rPr>
          <w:rFonts w:eastAsia="Calibri" w:cstheme="minorHAnsi"/>
          <w:iCs/>
          <w:sz w:val="24"/>
          <w:szCs w:val="24"/>
        </w:rPr>
      </w:pPr>
      <w:r>
        <w:rPr>
          <w:rFonts w:eastAsia="Calibri" w:cstheme="minorHAnsi"/>
          <w:b/>
          <w:iCs/>
          <w:sz w:val="24"/>
          <w:szCs w:val="24"/>
        </w:rPr>
        <w:t>Tonnage Cap:</w:t>
      </w:r>
      <w:r w:rsidRPr="0041791D">
        <w:rPr>
          <w:rFonts w:eastAsia="Calibri" w:cstheme="minorHAnsi"/>
          <w:iCs/>
          <w:sz w:val="24"/>
          <w:szCs w:val="24"/>
        </w:rPr>
        <w:t xml:space="preserve">  The 1.1 M Tons/year “Limit on Solid Waste” defined in the 2020 Landfill Franchise Agreement, in place until “Franchisee’s governmental applications to expand the landfill onto the Expansion Parcel are granted” and stipulated as the level which the total tonnage of solid waste deposited by the franchisee “shall not exceed” during any calendar year, with exceptions for fire, flood, other natural disaster or any Force Majeure event.</w:t>
      </w:r>
    </w:p>
    <w:p w14:paraId="7DA35983" w14:textId="77777777" w:rsidR="006F646F" w:rsidRPr="0041791D" w:rsidRDefault="006F646F" w:rsidP="006F646F">
      <w:pPr>
        <w:ind w:left="360"/>
        <w:rPr>
          <w:rFonts w:eastAsia="Calibri" w:cstheme="minorHAnsi"/>
          <w:i/>
          <w:iCs/>
          <w:sz w:val="24"/>
          <w:szCs w:val="24"/>
        </w:rPr>
      </w:pPr>
      <w:r w:rsidRPr="0041791D">
        <w:rPr>
          <w:rFonts w:eastAsia="Calibri" w:cstheme="minorHAnsi"/>
          <w:b/>
          <w:iCs/>
          <w:sz w:val="24"/>
          <w:szCs w:val="24"/>
        </w:rPr>
        <w:t>Expansion Parcel</w:t>
      </w:r>
      <w:r w:rsidRPr="0041791D">
        <w:rPr>
          <w:rFonts w:eastAsia="Calibri" w:cstheme="minorHAnsi"/>
          <w:iCs/>
          <w:sz w:val="24"/>
          <w:szCs w:val="24"/>
        </w:rPr>
        <w:t xml:space="preserve">: </w:t>
      </w:r>
      <w:r w:rsidRPr="006A2D5D">
        <w:rPr>
          <w:rFonts w:eastAsia="Calibri" w:cstheme="minorHAnsi"/>
          <w:sz w:val="24"/>
          <w:szCs w:val="24"/>
        </w:rPr>
        <w:t>As specified in the 2020 Landfill Franchise Agreement,</w:t>
      </w:r>
      <w:commentRangeStart w:id="20"/>
      <w:commentRangeStart w:id="21"/>
      <w:r w:rsidRPr="006A2D5D">
        <w:rPr>
          <w:rFonts w:eastAsia="Calibri" w:cstheme="minorHAnsi"/>
          <w:sz w:val="24"/>
          <w:szCs w:val="24"/>
        </w:rPr>
        <w:t xml:space="preserve"> the “expansion parcel” is tax lot 104180001107, listed as 59.23 Ac.</w:t>
      </w:r>
      <w:commentRangeEnd w:id="20"/>
      <w:r w:rsidRPr="006A2D5D">
        <w:rPr>
          <w:rFonts w:eastAsia="Calibri" w:cstheme="minorHAnsi"/>
          <w:sz w:val="24"/>
          <w:szCs w:val="24"/>
        </w:rPr>
        <w:commentReference w:id="20"/>
      </w:r>
      <w:commentRangeEnd w:id="21"/>
      <w:r w:rsidRPr="006A2D5D">
        <w:rPr>
          <w:rFonts w:eastAsia="Calibri" w:cstheme="minorHAnsi"/>
          <w:sz w:val="24"/>
          <w:szCs w:val="24"/>
        </w:rPr>
        <w:commentReference w:id="21"/>
      </w:r>
    </w:p>
    <w:p w14:paraId="7EADEE19" w14:textId="77777777" w:rsidR="006F646F" w:rsidRPr="0041791D" w:rsidRDefault="006F646F" w:rsidP="006F646F">
      <w:pPr>
        <w:rPr>
          <w:rFonts w:eastAsia="Calibri" w:cstheme="minorHAnsi"/>
          <w:sz w:val="24"/>
          <w:szCs w:val="24"/>
        </w:rPr>
      </w:pPr>
    </w:p>
    <w:p w14:paraId="71942A7E" w14:textId="77777777" w:rsidR="006F646F" w:rsidRPr="00E40E8A" w:rsidRDefault="006F646F" w:rsidP="006F646F">
      <w:pPr>
        <w:ind w:left="360"/>
        <w:rPr>
          <w:rFonts w:eastAsia="Calibri" w:cstheme="minorHAnsi"/>
          <w:b/>
          <w:bCs/>
          <w:sz w:val="24"/>
          <w:szCs w:val="24"/>
        </w:rPr>
      </w:pPr>
      <w:r w:rsidRPr="00E40E8A">
        <w:rPr>
          <w:rFonts w:eastAsia="Calibri" w:cstheme="minorHAnsi"/>
          <w:b/>
          <w:bCs/>
          <w:sz w:val="24"/>
          <w:szCs w:val="24"/>
        </w:rPr>
        <w:t>Circular Economy:</w:t>
      </w:r>
    </w:p>
    <w:p w14:paraId="5C2F15E3" w14:textId="77777777" w:rsidR="006F646F" w:rsidRPr="0041791D" w:rsidRDefault="006F646F" w:rsidP="006F646F">
      <w:pPr>
        <w:autoSpaceDE w:val="0"/>
        <w:autoSpaceDN w:val="0"/>
        <w:adjustRightInd w:val="0"/>
        <w:spacing w:after="240" w:line="240" w:lineRule="auto"/>
        <w:ind w:left="360"/>
        <w:rPr>
          <w:rFonts w:eastAsia="Calibri" w:cstheme="minorHAnsi"/>
          <w:sz w:val="24"/>
          <w:szCs w:val="24"/>
        </w:rPr>
      </w:pPr>
      <w:commentRangeStart w:id="22"/>
      <w:commentRangeStart w:id="23"/>
      <w:commentRangeStart w:id="24"/>
      <w:r>
        <w:rPr>
          <w:rFonts w:eastAsia="Calibri" w:cstheme="minorHAnsi"/>
          <w:sz w:val="24"/>
          <w:szCs w:val="24"/>
        </w:rPr>
        <w:t xml:space="preserve">An expansion </w:t>
      </w:r>
      <w:commentRangeEnd w:id="22"/>
      <w:r w:rsidRPr="004327C9">
        <w:commentReference w:id="22"/>
      </w:r>
      <w:commentRangeEnd w:id="23"/>
      <w:r w:rsidRPr="004327C9">
        <w:commentReference w:id="23"/>
      </w:r>
      <w:commentRangeEnd w:id="24"/>
      <w:r w:rsidRPr="004327C9">
        <w:rPr>
          <w:rFonts w:eastAsia="Calibri" w:cstheme="minorHAnsi"/>
          <w:sz w:val="24"/>
          <w:szCs w:val="24"/>
        </w:rPr>
        <w:commentReference w:id="24"/>
      </w:r>
      <w:r w:rsidRPr="004327C9">
        <w:rPr>
          <w:rFonts w:eastAsia="Calibri" w:cstheme="minorHAnsi"/>
          <w:sz w:val="24"/>
          <w:szCs w:val="24"/>
        </w:rPr>
        <w:t xml:space="preserve"> </w:t>
      </w:r>
      <w:r w:rsidRPr="0041791D">
        <w:rPr>
          <w:rFonts w:eastAsia="Calibri" w:cstheme="minorHAnsi"/>
          <w:sz w:val="24"/>
          <w:szCs w:val="24"/>
        </w:rPr>
        <w:t xml:space="preserve">of a landfill alone without a circular economy would only consume valuable landfill reserve resources in a traditional linear economy model, which operates on a “take, make, use, dispose” model. </w:t>
      </w:r>
    </w:p>
    <w:p w14:paraId="156797E2" w14:textId="77777777" w:rsidR="006F646F" w:rsidRPr="0041791D" w:rsidRDefault="006F646F" w:rsidP="006F646F">
      <w:pPr>
        <w:autoSpaceDE w:val="0"/>
        <w:autoSpaceDN w:val="0"/>
        <w:adjustRightInd w:val="0"/>
        <w:spacing w:after="240" w:line="240" w:lineRule="auto"/>
        <w:ind w:left="360"/>
        <w:rPr>
          <w:rFonts w:eastAsia="Calibri" w:cstheme="minorHAnsi"/>
          <w:sz w:val="24"/>
          <w:szCs w:val="24"/>
        </w:rPr>
      </w:pPr>
      <w:r w:rsidRPr="0041791D">
        <w:rPr>
          <w:rFonts w:eastAsia="Calibri" w:cstheme="minorHAnsi"/>
          <w:sz w:val="24"/>
          <w:szCs w:val="24"/>
        </w:rPr>
        <w:t xml:space="preserve">A circular economy is an economic model where the waste and pollution generated by society is minimized, and resources are conserved and regenerated by reusing and recycling materials and products. It aims to reduce dependency on finite resources, eliminate waste, and create a more sustainable economy. The circular economy model </w:t>
      </w:r>
      <w:proofErr w:type="gramStart"/>
      <w:r w:rsidRPr="0041791D">
        <w:rPr>
          <w:rFonts w:eastAsia="Calibri" w:cstheme="minorHAnsi"/>
          <w:sz w:val="24"/>
          <w:szCs w:val="24"/>
        </w:rPr>
        <w:t>is in contrast to</w:t>
      </w:r>
      <w:proofErr w:type="gramEnd"/>
      <w:r w:rsidRPr="0041791D">
        <w:rPr>
          <w:rFonts w:eastAsia="Calibri" w:cstheme="minorHAnsi"/>
          <w:sz w:val="24"/>
          <w:szCs w:val="24"/>
        </w:rPr>
        <w:t xml:space="preserve"> the traditional linear economy model. </w:t>
      </w:r>
    </w:p>
    <w:p w14:paraId="423A7A97" w14:textId="77777777" w:rsidR="006F646F" w:rsidRPr="0041791D" w:rsidRDefault="006F646F" w:rsidP="006F646F">
      <w:pPr>
        <w:autoSpaceDE w:val="0"/>
        <w:autoSpaceDN w:val="0"/>
        <w:adjustRightInd w:val="0"/>
        <w:spacing w:after="240" w:line="240" w:lineRule="auto"/>
        <w:ind w:left="360"/>
        <w:rPr>
          <w:rFonts w:eastAsia="Calibri" w:cstheme="minorHAnsi"/>
          <w:sz w:val="24"/>
          <w:szCs w:val="24"/>
        </w:rPr>
      </w:pPr>
      <w:r w:rsidRPr="0041791D">
        <w:rPr>
          <w:rFonts w:eastAsia="Calibri" w:cstheme="minorHAnsi"/>
          <w:sz w:val="24"/>
          <w:szCs w:val="24"/>
        </w:rPr>
        <w:t xml:space="preserve">In Republic Services 2021 Sustainability Report, Jon Vander Ark, </w:t>
      </w:r>
      <w:proofErr w:type="gramStart"/>
      <w:r w:rsidRPr="0041791D">
        <w:rPr>
          <w:rFonts w:eastAsia="Calibri" w:cstheme="minorHAnsi"/>
          <w:sz w:val="24"/>
          <w:szCs w:val="24"/>
        </w:rPr>
        <w:t>President</w:t>
      </w:r>
      <w:proofErr w:type="gramEnd"/>
      <w:r w:rsidRPr="0041791D">
        <w:rPr>
          <w:rFonts w:eastAsia="Calibri" w:cstheme="minorHAnsi"/>
          <w:sz w:val="24"/>
          <w:szCs w:val="24"/>
        </w:rPr>
        <w:t xml:space="preserve"> and Chief Executive Officer reports, “This is our company vision, which is intentionally ambitious because we believe we are uniquely positioned to help our customers achieve their own sustainability goals. That commitment begins with our Elements of Sustainability – Safety, Talent, Climate Leadership and Communities – and these elements anchor our 2030 sustainability goals”.</w:t>
      </w:r>
    </w:p>
    <w:p w14:paraId="587DC341" w14:textId="77777777" w:rsidR="006F646F" w:rsidRPr="0041791D" w:rsidRDefault="006F646F" w:rsidP="006F646F">
      <w:pPr>
        <w:autoSpaceDE w:val="0"/>
        <w:autoSpaceDN w:val="0"/>
        <w:adjustRightInd w:val="0"/>
        <w:spacing w:after="240" w:line="240" w:lineRule="auto"/>
        <w:ind w:left="360"/>
        <w:rPr>
          <w:rFonts w:eastAsia="Calibri" w:cstheme="minorHAnsi"/>
          <w:sz w:val="24"/>
          <w:szCs w:val="24"/>
        </w:rPr>
      </w:pPr>
      <w:r w:rsidRPr="0041791D">
        <w:rPr>
          <w:rFonts w:eastAsia="Calibri" w:cstheme="minorHAnsi"/>
          <w:sz w:val="24"/>
          <w:szCs w:val="24"/>
        </w:rPr>
        <w:t>A solid waste management plan is a comprehensive plan for the collection, transport, processing, and disposal of solid waste, such as household trash, industrial waste, and construction and demolition debris. The purpose of a solid waste management plan is to ensure that waste is managed in an environmentally responsible and sustainable manner, while also considering economic and social factors of a circular economy.</w:t>
      </w:r>
    </w:p>
    <w:p w14:paraId="6BB86AA1" w14:textId="77777777" w:rsidR="006F646F" w:rsidRPr="0041791D" w:rsidRDefault="006F646F" w:rsidP="006F646F">
      <w:pPr>
        <w:autoSpaceDE w:val="0"/>
        <w:autoSpaceDN w:val="0"/>
        <w:adjustRightInd w:val="0"/>
        <w:spacing w:after="240" w:line="240" w:lineRule="auto"/>
        <w:ind w:left="360"/>
        <w:rPr>
          <w:rFonts w:eastAsia="Calibri" w:cstheme="minorHAnsi"/>
          <w:sz w:val="24"/>
          <w:szCs w:val="24"/>
        </w:rPr>
      </w:pPr>
      <w:r w:rsidRPr="0041791D">
        <w:rPr>
          <w:rFonts w:eastAsia="Calibri" w:cstheme="minorHAnsi"/>
          <w:sz w:val="24"/>
          <w:szCs w:val="24"/>
        </w:rPr>
        <w:t xml:space="preserve">In the 2020 landfill franchise agreement under article 5a Benton County and the Franchisee acknowledge that there may be adverse effects to the County’s infrastructure and environmental conditions due to increased annual volumes of solid waste accepted at the landfill. </w:t>
      </w:r>
    </w:p>
    <w:p w14:paraId="1CDF9069" w14:textId="77777777" w:rsidR="006F646F" w:rsidRDefault="006F646F" w:rsidP="006F646F">
      <w:pPr>
        <w:autoSpaceDE w:val="0"/>
        <w:autoSpaceDN w:val="0"/>
        <w:adjustRightInd w:val="0"/>
        <w:spacing w:after="240" w:line="240" w:lineRule="auto"/>
        <w:ind w:left="360"/>
        <w:rPr>
          <w:rFonts w:eastAsia="Calibri" w:cstheme="minorHAnsi"/>
          <w:sz w:val="24"/>
          <w:szCs w:val="24"/>
        </w:rPr>
      </w:pPr>
      <w:r w:rsidRPr="0041791D">
        <w:rPr>
          <w:rFonts w:eastAsia="Calibri" w:cstheme="minorHAnsi"/>
          <w:sz w:val="24"/>
          <w:szCs w:val="24"/>
        </w:rPr>
        <w:t>In other words, a solid waste management plan needs to work shoulder to shoulder with sustainability goals in a circular economy within Benton County’s proposed sustainable materials management plan and transportation plan.</w:t>
      </w:r>
    </w:p>
    <w:p w14:paraId="47B3D19A" w14:textId="77777777" w:rsidR="006F646F" w:rsidRPr="0041791D" w:rsidRDefault="006F646F" w:rsidP="006F646F">
      <w:pPr>
        <w:autoSpaceDE w:val="0"/>
        <w:autoSpaceDN w:val="0"/>
        <w:adjustRightInd w:val="0"/>
        <w:spacing w:after="240" w:line="240" w:lineRule="auto"/>
        <w:ind w:left="360"/>
        <w:rPr>
          <w:rFonts w:eastAsia="Calibri" w:cstheme="minorHAnsi"/>
          <w:sz w:val="24"/>
          <w:szCs w:val="24"/>
        </w:rPr>
      </w:pPr>
    </w:p>
    <w:p w14:paraId="587CE965" w14:textId="77777777" w:rsidR="006F646F" w:rsidRPr="00E40E8A" w:rsidRDefault="006F646F" w:rsidP="006F646F">
      <w:pPr>
        <w:ind w:left="360"/>
        <w:rPr>
          <w:rFonts w:eastAsia="Calibri" w:cstheme="minorHAnsi"/>
          <w:b/>
          <w:bCs/>
          <w:iCs/>
          <w:sz w:val="24"/>
          <w:szCs w:val="24"/>
        </w:rPr>
      </w:pPr>
      <w:commentRangeStart w:id="25"/>
      <w:r w:rsidRPr="00E40E8A">
        <w:rPr>
          <w:rFonts w:eastAsia="Calibri" w:cstheme="minorHAnsi"/>
          <w:b/>
          <w:bCs/>
          <w:iCs/>
          <w:sz w:val="24"/>
          <w:szCs w:val="24"/>
        </w:rPr>
        <w:t xml:space="preserve">What is the economical </w:t>
      </w:r>
      <w:commentRangeEnd w:id="25"/>
      <w:r w:rsidRPr="00E40E8A">
        <w:rPr>
          <w:rStyle w:val="CommentReference"/>
          <w:rFonts w:cstheme="minorHAnsi"/>
          <w:b/>
          <w:bCs/>
          <w:sz w:val="24"/>
          <w:szCs w:val="24"/>
        </w:rPr>
        <w:commentReference w:id="25"/>
      </w:r>
      <w:r w:rsidRPr="00E40E8A">
        <w:rPr>
          <w:rFonts w:eastAsia="Calibri" w:cstheme="minorHAnsi"/>
          <w:b/>
          <w:bCs/>
          <w:iCs/>
          <w:sz w:val="24"/>
          <w:szCs w:val="24"/>
        </w:rPr>
        <w:t>principal of demand and supply equilibrium?</w:t>
      </w:r>
    </w:p>
    <w:p w14:paraId="4B12A979" w14:textId="77777777" w:rsidR="006F646F" w:rsidRDefault="006F646F" w:rsidP="006F646F">
      <w:pPr>
        <w:ind w:left="360"/>
        <w:rPr>
          <w:rFonts w:eastAsia="Calibri" w:cstheme="minorHAnsi"/>
          <w:iCs/>
          <w:sz w:val="24"/>
          <w:szCs w:val="24"/>
        </w:rPr>
      </w:pPr>
      <w:r w:rsidRPr="0041791D">
        <w:rPr>
          <w:rFonts w:eastAsia="Calibri" w:cstheme="minorHAnsi"/>
          <w:iCs/>
          <w:sz w:val="24"/>
          <w:szCs w:val="24"/>
        </w:rPr>
        <w:t>The economic principle of demand and supply equilibrium is a fundamental concept in economics. It states that in a free market, the price of a good or service will settle at a level where the quantity demanded by buyers is equal to the quantity supplied by sellers.</w:t>
      </w:r>
    </w:p>
    <w:p w14:paraId="25FC625F" w14:textId="77777777" w:rsidR="006F646F" w:rsidRPr="0041791D" w:rsidRDefault="006F646F" w:rsidP="006F646F">
      <w:pPr>
        <w:ind w:left="360"/>
        <w:rPr>
          <w:rFonts w:eastAsia="Calibri" w:cstheme="minorHAnsi"/>
          <w:iCs/>
          <w:sz w:val="24"/>
          <w:szCs w:val="24"/>
        </w:rPr>
      </w:pPr>
    </w:p>
    <w:p w14:paraId="5E56A110" w14:textId="77777777" w:rsidR="006F646F" w:rsidRPr="00E40E8A" w:rsidRDefault="006F646F" w:rsidP="006F646F">
      <w:pPr>
        <w:ind w:left="360"/>
        <w:rPr>
          <w:rFonts w:eastAsia="Calibri" w:cstheme="minorHAnsi"/>
          <w:b/>
          <w:bCs/>
          <w:iCs/>
          <w:sz w:val="24"/>
          <w:szCs w:val="24"/>
        </w:rPr>
      </w:pPr>
      <w:r w:rsidRPr="00E40E8A">
        <w:rPr>
          <w:rFonts w:eastAsia="Calibri" w:cstheme="minorHAnsi"/>
          <w:b/>
          <w:bCs/>
          <w:iCs/>
          <w:sz w:val="24"/>
          <w:szCs w:val="24"/>
        </w:rPr>
        <w:t>What are the economics of a franchise?</w:t>
      </w:r>
    </w:p>
    <w:p w14:paraId="3C6DD8C0" w14:textId="77777777" w:rsidR="006F646F" w:rsidRDefault="006F646F" w:rsidP="006F646F">
      <w:pPr>
        <w:ind w:left="360"/>
        <w:rPr>
          <w:rFonts w:eastAsia="Calibri" w:cstheme="minorHAnsi"/>
          <w:iCs/>
          <w:sz w:val="24"/>
          <w:szCs w:val="24"/>
        </w:rPr>
      </w:pPr>
      <w:r w:rsidRPr="0041791D">
        <w:rPr>
          <w:rFonts w:eastAsia="Calibri" w:cstheme="minorHAnsi"/>
          <w:iCs/>
          <w:sz w:val="24"/>
          <w:szCs w:val="24"/>
        </w:rPr>
        <w:t xml:space="preserve">A franchise is a business model in which a franchisor grants a franchisee the right to use its trademarks, products, services, and business methods for a specified </w:t>
      </w:r>
      <w:proofErr w:type="gramStart"/>
      <w:r w:rsidRPr="0041791D">
        <w:rPr>
          <w:rFonts w:eastAsia="Calibri" w:cstheme="minorHAnsi"/>
          <w:iCs/>
          <w:sz w:val="24"/>
          <w:szCs w:val="24"/>
        </w:rPr>
        <w:t>period of time</w:t>
      </w:r>
      <w:proofErr w:type="gramEnd"/>
      <w:r w:rsidRPr="0041791D">
        <w:rPr>
          <w:rFonts w:eastAsia="Calibri" w:cstheme="minorHAnsi"/>
          <w:iCs/>
          <w:sz w:val="24"/>
          <w:szCs w:val="24"/>
        </w:rPr>
        <w:t xml:space="preserve"> in exchange for an initial fee and ongoing royalty payments. The economics of a franchise depend on various factors, including the type of franchise, the market conditions, and the terms of the franchise agreement.</w:t>
      </w:r>
    </w:p>
    <w:p w14:paraId="590313FE" w14:textId="77777777" w:rsidR="006F646F" w:rsidRPr="0041791D" w:rsidRDefault="006F646F" w:rsidP="00DA15AE">
      <w:pPr>
        <w:rPr>
          <w:rFonts w:eastAsia="Calibri" w:cstheme="minorHAnsi"/>
          <w:iCs/>
          <w:vanish/>
          <w:sz w:val="24"/>
          <w:szCs w:val="24"/>
        </w:rPr>
      </w:pPr>
      <w:r w:rsidRPr="0041791D">
        <w:rPr>
          <w:rFonts w:eastAsia="Calibri" w:cstheme="minorHAnsi"/>
          <w:iCs/>
          <w:vanish/>
          <w:sz w:val="24"/>
          <w:szCs w:val="24"/>
        </w:rPr>
        <w:t>Bottom of Form</w:t>
      </w:r>
    </w:p>
    <w:p w14:paraId="6622DEE6" w14:textId="77777777" w:rsidR="006F646F" w:rsidRPr="0041791D" w:rsidRDefault="006F646F" w:rsidP="006F646F">
      <w:pPr>
        <w:ind w:left="360"/>
        <w:rPr>
          <w:rFonts w:eastAsia="Calibri" w:cstheme="minorHAnsi"/>
          <w:iCs/>
          <w:sz w:val="24"/>
          <w:szCs w:val="24"/>
        </w:rPr>
      </w:pPr>
    </w:p>
    <w:p w14:paraId="62CDFF69" w14:textId="77777777" w:rsidR="006F646F" w:rsidRPr="00E40E8A" w:rsidRDefault="006F646F" w:rsidP="006F646F">
      <w:pPr>
        <w:ind w:left="360"/>
        <w:rPr>
          <w:rFonts w:eastAsia="Calibri" w:cstheme="minorHAnsi"/>
          <w:b/>
          <w:bCs/>
          <w:iCs/>
          <w:sz w:val="24"/>
          <w:szCs w:val="24"/>
        </w:rPr>
      </w:pPr>
      <w:r w:rsidRPr="00E40E8A">
        <w:rPr>
          <w:rFonts w:eastAsia="Calibri" w:cstheme="minorHAnsi"/>
          <w:b/>
          <w:bCs/>
          <w:iCs/>
          <w:sz w:val="24"/>
          <w:szCs w:val="24"/>
        </w:rPr>
        <w:t>What is the economics of a landfill?</w:t>
      </w:r>
    </w:p>
    <w:p w14:paraId="13CC4187"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 xml:space="preserve">The economics of a landfill refers to the financial costs and benefits associated with operating and managing a landfill. Landfills are a type of waste management facility where garbage and other forms of solid waste are buried underground </w:t>
      </w:r>
      <w:proofErr w:type="gramStart"/>
      <w:r w:rsidRPr="0041791D">
        <w:rPr>
          <w:rFonts w:eastAsia="Calibri" w:cstheme="minorHAnsi"/>
          <w:iCs/>
          <w:sz w:val="24"/>
          <w:szCs w:val="24"/>
        </w:rPr>
        <w:t>in order to</w:t>
      </w:r>
      <w:proofErr w:type="gramEnd"/>
      <w:r w:rsidRPr="0041791D">
        <w:rPr>
          <w:rFonts w:eastAsia="Calibri" w:cstheme="minorHAnsi"/>
          <w:iCs/>
          <w:sz w:val="24"/>
          <w:szCs w:val="24"/>
        </w:rPr>
        <w:t xml:space="preserve"> minimize their impact on the environment.</w:t>
      </w:r>
    </w:p>
    <w:p w14:paraId="1DFA9E7A"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The economics of a landfill can be broken down into several components:</w:t>
      </w:r>
    </w:p>
    <w:p w14:paraId="329E7E45" w14:textId="77777777" w:rsidR="006F646F" w:rsidRPr="0041791D" w:rsidRDefault="006F646F" w:rsidP="006F646F">
      <w:pPr>
        <w:numPr>
          <w:ilvl w:val="0"/>
          <w:numId w:val="32"/>
        </w:numPr>
        <w:rPr>
          <w:rFonts w:eastAsia="Calibri" w:cstheme="minorHAnsi"/>
          <w:iCs/>
          <w:sz w:val="24"/>
          <w:szCs w:val="24"/>
        </w:rPr>
      </w:pPr>
      <w:r w:rsidRPr="0041791D">
        <w:rPr>
          <w:rFonts w:eastAsia="Calibri" w:cstheme="minorHAnsi"/>
          <w:iCs/>
          <w:sz w:val="24"/>
          <w:szCs w:val="24"/>
        </w:rPr>
        <w:t>Capital Costs: These are the costs associated with building the landfill, including site preparation, infrastructure development, construction of waste cells, and installation of monitoring systems.</w:t>
      </w:r>
    </w:p>
    <w:p w14:paraId="055EEFA4" w14:textId="77777777" w:rsidR="006F646F" w:rsidRPr="0041791D" w:rsidRDefault="006F646F" w:rsidP="006F646F">
      <w:pPr>
        <w:numPr>
          <w:ilvl w:val="0"/>
          <w:numId w:val="32"/>
        </w:numPr>
        <w:rPr>
          <w:rFonts w:eastAsia="Calibri" w:cstheme="minorHAnsi"/>
          <w:iCs/>
          <w:sz w:val="24"/>
          <w:szCs w:val="24"/>
        </w:rPr>
      </w:pPr>
      <w:r w:rsidRPr="0041791D">
        <w:rPr>
          <w:rFonts w:eastAsia="Calibri" w:cstheme="minorHAnsi"/>
          <w:iCs/>
          <w:sz w:val="24"/>
          <w:szCs w:val="24"/>
        </w:rPr>
        <w:t>Operating Costs: These are the ongoing costs associated with running the landfill, including labor costs, equipment maintenance, waste collection, transportation, and disposal costs.</w:t>
      </w:r>
    </w:p>
    <w:p w14:paraId="261C2080" w14:textId="77777777" w:rsidR="006F646F" w:rsidRPr="0041791D" w:rsidRDefault="006F646F" w:rsidP="006F646F">
      <w:pPr>
        <w:numPr>
          <w:ilvl w:val="0"/>
          <w:numId w:val="32"/>
        </w:numPr>
        <w:rPr>
          <w:rFonts w:eastAsia="Calibri" w:cstheme="minorHAnsi"/>
          <w:iCs/>
          <w:sz w:val="24"/>
          <w:szCs w:val="24"/>
        </w:rPr>
      </w:pPr>
      <w:r w:rsidRPr="0041791D">
        <w:rPr>
          <w:rFonts w:eastAsia="Calibri" w:cstheme="minorHAnsi"/>
          <w:iCs/>
          <w:sz w:val="24"/>
          <w:szCs w:val="24"/>
        </w:rPr>
        <w:t>Revenues: These are the revenues generated from the landfill, which may come from tipping fees charged to waste generators or from the sale of recovered materials such as metals, plastics, or glass.</w:t>
      </w:r>
    </w:p>
    <w:p w14:paraId="201791A3" w14:textId="77777777" w:rsidR="006F646F" w:rsidRPr="0041791D" w:rsidRDefault="006F646F" w:rsidP="006F646F">
      <w:pPr>
        <w:numPr>
          <w:ilvl w:val="0"/>
          <w:numId w:val="32"/>
        </w:numPr>
        <w:rPr>
          <w:rFonts w:eastAsia="Calibri" w:cstheme="minorHAnsi"/>
          <w:iCs/>
          <w:sz w:val="24"/>
          <w:szCs w:val="24"/>
        </w:rPr>
      </w:pPr>
      <w:r w:rsidRPr="0041791D">
        <w:rPr>
          <w:rFonts w:eastAsia="Calibri" w:cstheme="minorHAnsi"/>
          <w:iCs/>
          <w:sz w:val="24"/>
          <w:szCs w:val="24"/>
        </w:rPr>
        <w:t>Environmental Costs: These are the costs associated with the environmental impact of the landfill, including pollution, greenhouse gas emissions, and impacts on local ecosystems.</w:t>
      </w:r>
    </w:p>
    <w:p w14:paraId="433AEA77" w14:textId="77777777" w:rsidR="006F646F" w:rsidRPr="0041791D" w:rsidRDefault="006F646F" w:rsidP="006F646F">
      <w:pPr>
        <w:numPr>
          <w:ilvl w:val="0"/>
          <w:numId w:val="32"/>
        </w:numPr>
        <w:rPr>
          <w:rFonts w:eastAsia="Calibri" w:cstheme="minorHAnsi"/>
          <w:iCs/>
          <w:sz w:val="24"/>
          <w:szCs w:val="24"/>
        </w:rPr>
      </w:pPr>
      <w:r w:rsidRPr="0041791D">
        <w:rPr>
          <w:rFonts w:eastAsia="Calibri" w:cstheme="minorHAnsi"/>
          <w:iCs/>
          <w:sz w:val="24"/>
          <w:szCs w:val="24"/>
        </w:rPr>
        <w:t>Regulatory Costs: These are the costs associated with complying with local, state, and federal regulations governing the operation of landfills, including permitting, monitoring, and reporting requirements.</w:t>
      </w:r>
    </w:p>
    <w:p w14:paraId="46419F50" w14:textId="77777777" w:rsidR="006F646F" w:rsidRDefault="006F646F" w:rsidP="006F646F">
      <w:pPr>
        <w:ind w:left="360"/>
        <w:rPr>
          <w:rFonts w:eastAsia="Calibri" w:cstheme="minorHAnsi"/>
          <w:iCs/>
          <w:sz w:val="24"/>
          <w:szCs w:val="24"/>
        </w:rPr>
      </w:pPr>
      <w:r w:rsidRPr="0041791D">
        <w:rPr>
          <w:rFonts w:eastAsia="Calibri" w:cstheme="minorHAnsi"/>
          <w:iCs/>
          <w:sz w:val="24"/>
          <w:szCs w:val="24"/>
        </w:rPr>
        <w:t xml:space="preserve">Overall, the economics of a landfill depend on </w:t>
      </w:r>
      <w:proofErr w:type="gramStart"/>
      <w:r w:rsidRPr="0041791D">
        <w:rPr>
          <w:rFonts w:eastAsia="Calibri" w:cstheme="minorHAnsi"/>
          <w:iCs/>
          <w:sz w:val="24"/>
          <w:szCs w:val="24"/>
        </w:rPr>
        <w:t>a number of</w:t>
      </w:r>
      <w:proofErr w:type="gramEnd"/>
      <w:r w:rsidRPr="0041791D">
        <w:rPr>
          <w:rFonts w:eastAsia="Calibri" w:cstheme="minorHAnsi"/>
          <w:iCs/>
          <w:sz w:val="24"/>
          <w:szCs w:val="24"/>
        </w:rPr>
        <w:t xml:space="preserve"> factors, including the size, capacity and location of the landfill, the amount and type of waste it receives, the regulatory environment, and the cost of alternative waste management options. Proper management of a landfill can result in a profitable operation, but this must be balanced with the potential negative environmental impacts and the costs associated with mitigating them.</w:t>
      </w:r>
    </w:p>
    <w:p w14:paraId="5E898FDC" w14:textId="77777777" w:rsidR="006F646F" w:rsidRPr="0041791D" w:rsidRDefault="006F646F" w:rsidP="006F646F">
      <w:pPr>
        <w:ind w:left="360"/>
        <w:rPr>
          <w:rFonts w:eastAsia="Calibri" w:cstheme="minorHAnsi"/>
          <w:iCs/>
          <w:sz w:val="24"/>
          <w:szCs w:val="24"/>
        </w:rPr>
      </w:pPr>
    </w:p>
    <w:p w14:paraId="5E60D5EB" w14:textId="77777777" w:rsidR="006F646F" w:rsidRPr="00E40E8A" w:rsidRDefault="006F646F" w:rsidP="006F646F">
      <w:pPr>
        <w:ind w:left="360"/>
        <w:rPr>
          <w:rFonts w:eastAsia="Calibri" w:cstheme="minorHAnsi"/>
          <w:b/>
          <w:bCs/>
          <w:iCs/>
          <w:sz w:val="24"/>
          <w:szCs w:val="24"/>
        </w:rPr>
      </w:pPr>
      <w:r w:rsidRPr="00E40E8A">
        <w:rPr>
          <w:rFonts w:eastAsia="Calibri" w:cstheme="minorHAnsi"/>
          <w:b/>
          <w:bCs/>
          <w:iCs/>
          <w:sz w:val="24"/>
          <w:szCs w:val="24"/>
        </w:rPr>
        <w:t>What are resources in reserve in a landfill?</w:t>
      </w:r>
    </w:p>
    <w:p w14:paraId="43FB80E5"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In the context of a landfill, resources in reserve typically refer to the remaining capacity of the landfill to accept waste before it reaches its maximum capacity. This can be estimated by conducting periodic surveys and measurements of the landfill's remaining space, as well as assessing the rate at which waste is being deposited.</w:t>
      </w:r>
    </w:p>
    <w:p w14:paraId="228CB9F1"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 xml:space="preserve">The resources in reserve of a landfill are a key consideration in waste management planning, as they determine how long the landfill can continue to accept waste before it reaches its maximum capacity and must be closed. Once a landfill reaches its maximum capacity, it must be closed and monitored for an extended </w:t>
      </w:r>
      <w:proofErr w:type="gramStart"/>
      <w:r w:rsidRPr="0041791D">
        <w:rPr>
          <w:rFonts w:eastAsia="Calibri" w:cstheme="minorHAnsi"/>
          <w:iCs/>
          <w:sz w:val="24"/>
          <w:szCs w:val="24"/>
        </w:rPr>
        <w:t>period of time</w:t>
      </w:r>
      <w:proofErr w:type="gramEnd"/>
      <w:r w:rsidRPr="0041791D">
        <w:rPr>
          <w:rFonts w:eastAsia="Calibri" w:cstheme="minorHAnsi"/>
          <w:iCs/>
          <w:sz w:val="24"/>
          <w:szCs w:val="24"/>
        </w:rPr>
        <w:t xml:space="preserve"> to ensure that it does not pose a threat to human health or the environment.</w:t>
      </w:r>
    </w:p>
    <w:p w14:paraId="0BC629D9"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In addition to the remaining capacity of the landfill, other resources in reserve in a landfill may include materials that can be recovered and reused, such as metals, plastics, and other recyclable materials. Landfills may also be equipped with systems for capturing and utilizing landfill gas, which is a byproduct of the decomposition of organic materials in the landfill.</w:t>
      </w:r>
    </w:p>
    <w:p w14:paraId="4C400E66" w14:textId="77777777" w:rsidR="006F646F" w:rsidRDefault="006F646F" w:rsidP="006F646F">
      <w:pPr>
        <w:ind w:left="360"/>
        <w:rPr>
          <w:rFonts w:eastAsia="Calibri" w:cstheme="minorHAnsi"/>
          <w:iCs/>
          <w:sz w:val="24"/>
          <w:szCs w:val="24"/>
        </w:rPr>
      </w:pPr>
      <w:r w:rsidRPr="0041791D">
        <w:rPr>
          <w:rFonts w:eastAsia="Calibri" w:cstheme="minorHAnsi"/>
          <w:iCs/>
          <w:sz w:val="24"/>
          <w:szCs w:val="24"/>
        </w:rPr>
        <w:t>Overall, the resources in reserve of a landfill are an important consideration in waste management planning, as they determine the landfill's remaining lifespan and its potential for resource recovery and utilization.</w:t>
      </w:r>
    </w:p>
    <w:p w14:paraId="50752B1B" w14:textId="77777777" w:rsidR="006F646F" w:rsidRPr="0041791D" w:rsidRDefault="006F646F" w:rsidP="006F646F">
      <w:pPr>
        <w:ind w:left="360"/>
        <w:rPr>
          <w:rFonts w:eastAsia="Calibri" w:cstheme="minorHAnsi"/>
          <w:iCs/>
          <w:sz w:val="24"/>
          <w:szCs w:val="24"/>
        </w:rPr>
      </w:pPr>
    </w:p>
    <w:p w14:paraId="3A0392A9" w14:textId="77777777" w:rsidR="006F646F" w:rsidRPr="00E40E8A" w:rsidRDefault="006F646F" w:rsidP="006F646F">
      <w:pPr>
        <w:ind w:left="360"/>
        <w:rPr>
          <w:rFonts w:eastAsia="Calibri" w:cstheme="minorHAnsi"/>
          <w:b/>
          <w:bCs/>
          <w:iCs/>
          <w:sz w:val="24"/>
          <w:szCs w:val="24"/>
        </w:rPr>
      </w:pPr>
      <w:r w:rsidRPr="00E40E8A">
        <w:rPr>
          <w:rFonts w:eastAsia="Calibri" w:cstheme="minorHAnsi"/>
          <w:b/>
          <w:bCs/>
          <w:iCs/>
          <w:sz w:val="24"/>
          <w:szCs w:val="24"/>
        </w:rPr>
        <w:t>What are ancillary resources in a landfill?</w:t>
      </w:r>
    </w:p>
    <w:p w14:paraId="361E2DCB"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Landfill ancillary resources are the resources that can be extracted or generated from a landfill in addition to its primary function of waste disposal. These resources can include both tangible and intangible assets that have value for the landfill operator or for other entities.</w:t>
      </w:r>
    </w:p>
    <w:p w14:paraId="3ECF9AC4"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Examples of landfill ancillary resources include:</w:t>
      </w:r>
    </w:p>
    <w:p w14:paraId="3D7118C3" w14:textId="77777777" w:rsidR="006F646F" w:rsidRPr="0041791D" w:rsidRDefault="006F646F" w:rsidP="006F646F">
      <w:pPr>
        <w:numPr>
          <w:ilvl w:val="0"/>
          <w:numId w:val="33"/>
        </w:numPr>
        <w:rPr>
          <w:rFonts w:eastAsia="Calibri" w:cstheme="minorHAnsi"/>
          <w:iCs/>
          <w:sz w:val="24"/>
          <w:szCs w:val="24"/>
        </w:rPr>
      </w:pPr>
      <w:r w:rsidRPr="0041791D">
        <w:rPr>
          <w:rFonts w:eastAsia="Calibri" w:cstheme="minorHAnsi"/>
          <w:iCs/>
          <w:sz w:val="24"/>
          <w:szCs w:val="24"/>
        </w:rPr>
        <w:t>Landfill gas: Landfills generate methane and other gases as waste decomposes. This gas can be captured and used to generate electricity, heat, or fuel.</w:t>
      </w:r>
    </w:p>
    <w:p w14:paraId="36CFB639" w14:textId="77777777" w:rsidR="006F646F" w:rsidRPr="0041791D" w:rsidRDefault="006F646F" w:rsidP="006F646F">
      <w:pPr>
        <w:numPr>
          <w:ilvl w:val="0"/>
          <w:numId w:val="33"/>
        </w:numPr>
        <w:rPr>
          <w:rFonts w:eastAsia="Calibri" w:cstheme="minorHAnsi"/>
          <w:iCs/>
          <w:sz w:val="24"/>
          <w:szCs w:val="24"/>
        </w:rPr>
      </w:pPr>
      <w:r w:rsidRPr="0041791D">
        <w:rPr>
          <w:rFonts w:eastAsia="Calibri" w:cstheme="minorHAnsi"/>
          <w:iCs/>
          <w:sz w:val="24"/>
          <w:szCs w:val="24"/>
        </w:rPr>
        <w:t>Recoverable materials: Certain materials, such as metals, plastics, and glass, can be recovered from the waste stream and sold or recycled.</w:t>
      </w:r>
    </w:p>
    <w:p w14:paraId="598E8A30" w14:textId="77777777" w:rsidR="006F646F" w:rsidRPr="0041791D" w:rsidRDefault="006F646F" w:rsidP="006F646F">
      <w:pPr>
        <w:numPr>
          <w:ilvl w:val="0"/>
          <w:numId w:val="33"/>
        </w:numPr>
        <w:rPr>
          <w:rFonts w:eastAsia="Calibri" w:cstheme="minorHAnsi"/>
          <w:iCs/>
          <w:sz w:val="24"/>
          <w:szCs w:val="24"/>
        </w:rPr>
      </w:pPr>
      <w:r w:rsidRPr="0041791D">
        <w:rPr>
          <w:rFonts w:eastAsia="Calibri" w:cstheme="minorHAnsi"/>
          <w:iCs/>
          <w:sz w:val="24"/>
          <w:szCs w:val="24"/>
        </w:rPr>
        <w:t>Compost: Some landfills may have the capability to compost organic waste, such as food and yard waste, which can be sold as a soil amendment or fertilizer.</w:t>
      </w:r>
    </w:p>
    <w:p w14:paraId="4C583957" w14:textId="77777777" w:rsidR="006F646F" w:rsidRPr="0041791D" w:rsidRDefault="006F646F" w:rsidP="006F646F">
      <w:pPr>
        <w:numPr>
          <w:ilvl w:val="0"/>
          <w:numId w:val="33"/>
        </w:numPr>
        <w:rPr>
          <w:rFonts w:eastAsia="Calibri" w:cstheme="minorHAnsi"/>
          <w:iCs/>
          <w:sz w:val="24"/>
          <w:szCs w:val="24"/>
        </w:rPr>
      </w:pPr>
      <w:r w:rsidRPr="0041791D">
        <w:rPr>
          <w:rFonts w:eastAsia="Calibri" w:cstheme="minorHAnsi"/>
          <w:iCs/>
          <w:sz w:val="24"/>
          <w:szCs w:val="24"/>
        </w:rPr>
        <w:t>Land: Once a landfill has reached the end of its useful life, the land can be repurposed for other uses, such as parks, recreation areas, or commercial or industrial development.</w:t>
      </w:r>
    </w:p>
    <w:p w14:paraId="6F9C99A4" w14:textId="77777777" w:rsidR="006F646F" w:rsidRPr="0041791D" w:rsidRDefault="006F646F" w:rsidP="006F646F">
      <w:pPr>
        <w:numPr>
          <w:ilvl w:val="0"/>
          <w:numId w:val="33"/>
        </w:numPr>
        <w:rPr>
          <w:rFonts w:eastAsia="Calibri" w:cstheme="minorHAnsi"/>
          <w:iCs/>
          <w:sz w:val="24"/>
          <w:szCs w:val="24"/>
        </w:rPr>
      </w:pPr>
      <w:r w:rsidRPr="0041791D">
        <w:rPr>
          <w:rFonts w:eastAsia="Calibri" w:cstheme="minorHAnsi"/>
          <w:iCs/>
          <w:sz w:val="24"/>
          <w:szCs w:val="24"/>
        </w:rPr>
        <w:t>Environmental credits: Landfills that reduce their greenhouse gas emissions or implement other environmentally beneficial practices may be eligible for credits that can be sold on carbon markets or other environmental markets.</w:t>
      </w:r>
    </w:p>
    <w:p w14:paraId="65BF1D04" w14:textId="77777777" w:rsidR="006F646F" w:rsidRPr="0041791D" w:rsidRDefault="006F646F" w:rsidP="006F646F">
      <w:pPr>
        <w:numPr>
          <w:ilvl w:val="0"/>
          <w:numId w:val="33"/>
        </w:numPr>
        <w:rPr>
          <w:rFonts w:eastAsia="Calibri" w:cstheme="minorHAnsi"/>
          <w:iCs/>
          <w:sz w:val="24"/>
          <w:szCs w:val="24"/>
        </w:rPr>
      </w:pPr>
      <w:r w:rsidRPr="0041791D">
        <w:rPr>
          <w:rFonts w:eastAsia="Calibri" w:cstheme="minorHAnsi"/>
          <w:iCs/>
          <w:sz w:val="24"/>
          <w:szCs w:val="24"/>
        </w:rPr>
        <w:t>Water: Some landfills may have groundwater resources that can be used for irrigation or other purposes.</w:t>
      </w:r>
    </w:p>
    <w:p w14:paraId="6FC906C8" w14:textId="77777777" w:rsidR="006F646F" w:rsidRDefault="006F646F" w:rsidP="006F646F">
      <w:pPr>
        <w:ind w:left="360"/>
        <w:rPr>
          <w:rFonts w:eastAsia="Calibri" w:cstheme="minorHAnsi"/>
          <w:iCs/>
          <w:sz w:val="24"/>
          <w:szCs w:val="24"/>
        </w:rPr>
      </w:pPr>
      <w:r w:rsidRPr="0041791D">
        <w:rPr>
          <w:rFonts w:eastAsia="Calibri" w:cstheme="minorHAnsi"/>
          <w:iCs/>
          <w:sz w:val="24"/>
          <w:szCs w:val="24"/>
        </w:rPr>
        <w:t>Overall, landfill ancillary resources can provide additional revenue streams for landfill operators, reduce the environmental impact of landfill operations, and provide value to the broader community.</w:t>
      </w:r>
    </w:p>
    <w:p w14:paraId="0E1608D1" w14:textId="77777777" w:rsidR="006F646F" w:rsidRPr="0041791D" w:rsidRDefault="006F646F" w:rsidP="006F646F">
      <w:pPr>
        <w:ind w:left="360"/>
        <w:rPr>
          <w:rFonts w:eastAsia="Calibri" w:cstheme="minorHAnsi"/>
          <w:iCs/>
          <w:sz w:val="24"/>
          <w:szCs w:val="24"/>
        </w:rPr>
      </w:pPr>
    </w:p>
    <w:p w14:paraId="7E5CEB9A" w14:textId="77777777" w:rsidR="006F646F" w:rsidRPr="00E40E8A" w:rsidRDefault="006F646F" w:rsidP="006F646F">
      <w:pPr>
        <w:ind w:left="360"/>
        <w:rPr>
          <w:rFonts w:eastAsia="Calibri" w:cstheme="minorHAnsi"/>
          <w:b/>
          <w:bCs/>
          <w:iCs/>
          <w:sz w:val="24"/>
          <w:szCs w:val="24"/>
        </w:rPr>
      </w:pPr>
      <w:r w:rsidRPr="00E40E8A">
        <w:rPr>
          <w:rFonts w:eastAsia="Calibri" w:cstheme="minorHAnsi"/>
          <w:b/>
          <w:bCs/>
          <w:iCs/>
          <w:sz w:val="24"/>
          <w:szCs w:val="24"/>
        </w:rPr>
        <w:t>What is a landfill linear economy?</w:t>
      </w:r>
    </w:p>
    <w:p w14:paraId="4DC75D31"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A landfill linear economy refers to a waste management approach in which waste is generated, collected, and disposed of in a linear manner, without much emphasis on resource recovery or reuse. This approach is often characterized by a "take-make-dispose" model, where resources are extracted, processed into products, used, and then discarded as waste.</w:t>
      </w:r>
    </w:p>
    <w:p w14:paraId="744F1084"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In a landfill linear economy, waste is typically sent to landfills for disposal, without much effort to recover or recycle materials from the waste stream. This can result in the depletion of natural resources and the generation of significant amounts of waste that can pose environmental and health hazards.</w:t>
      </w:r>
    </w:p>
    <w:p w14:paraId="1839917D"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In contrast, a circular economy approach to waste management emphasizes resource recovery and reuse, with the goal of reducing waste and conserving natural resources. In a circular economy, waste is treated as a valuable resource, and materials are reused, recycled, or repurposed, rather than being disposed of in landfills or incinerators.</w:t>
      </w:r>
    </w:p>
    <w:p w14:paraId="738F33DC" w14:textId="77777777" w:rsidR="006F646F" w:rsidRDefault="006F646F" w:rsidP="006F646F">
      <w:pPr>
        <w:ind w:left="360"/>
        <w:rPr>
          <w:rFonts w:eastAsia="Calibri" w:cstheme="minorHAnsi"/>
          <w:iCs/>
          <w:sz w:val="24"/>
          <w:szCs w:val="24"/>
        </w:rPr>
      </w:pPr>
      <w:r w:rsidRPr="0041791D">
        <w:rPr>
          <w:rFonts w:eastAsia="Calibri" w:cstheme="minorHAnsi"/>
          <w:iCs/>
          <w:sz w:val="24"/>
          <w:szCs w:val="24"/>
        </w:rPr>
        <w:t>Overall, the concept of a landfill linear economy highlights the need for more sustainable waste management practices that prioritize resource recovery and reuse over disposal. By adopting a circular economy approach to waste management, it may be possible to minimize waste, conserve natural resources, and reduce the environmental impact of waste disposal.</w:t>
      </w:r>
    </w:p>
    <w:p w14:paraId="57C57BC0" w14:textId="77777777" w:rsidR="006F646F" w:rsidRPr="0041791D" w:rsidRDefault="006F646F" w:rsidP="006F646F">
      <w:pPr>
        <w:ind w:left="360"/>
        <w:rPr>
          <w:rFonts w:eastAsia="Calibri" w:cstheme="minorHAnsi"/>
          <w:iCs/>
          <w:sz w:val="24"/>
          <w:szCs w:val="24"/>
        </w:rPr>
      </w:pPr>
    </w:p>
    <w:p w14:paraId="4E296644" w14:textId="77777777" w:rsidR="006F646F" w:rsidRPr="00E40E8A" w:rsidRDefault="006F646F" w:rsidP="006F646F">
      <w:pPr>
        <w:ind w:left="360"/>
        <w:rPr>
          <w:rFonts w:eastAsia="Calibri" w:cstheme="minorHAnsi"/>
          <w:b/>
          <w:bCs/>
          <w:iCs/>
          <w:sz w:val="24"/>
          <w:szCs w:val="24"/>
        </w:rPr>
      </w:pPr>
      <w:r w:rsidRPr="00E40E8A">
        <w:rPr>
          <w:rFonts w:eastAsia="Calibri" w:cstheme="minorHAnsi"/>
          <w:b/>
          <w:bCs/>
          <w:iCs/>
          <w:sz w:val="24"/>
          <w:szCs w:val="24"/>
        </w:rPr>
        <w:t>What is refuse?</w:t>
      </w:r>
    </w:p>
    <w:p w14:paraId="25451FAA"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Refuse is a term used to describe any material or object that is thrown away or discarded because it is no longer wanted or needed. Refuse typically includes waste, garbage, trash, or other types of discarded materials, such as food scraps, old papers, empty containers, and broken household items.</w:t>
      </w:r>
    </w:p>
    <w:p w14:paraId="67DC71E1"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Refuse can take many forms and can come from a variety of sources, including households, businesses, and industrial processes. Proper disposal of refuse is important to prevent environmental pollution, reduce health risks, and conserve resources. Recycling, composting, and other waste reduction strategies can help to minimize the amount of refuse that ends up in landfills or incinerators.</w:t>
      </w:r>
    </w:p>
    <w:p w14:paraId="0F09BCA0" w14:textId="77777777" w:rsidR="006F646F" w:rsidRPr="0041791D" w:rsidRDefault="006F646F" w:rsidP="006F646F">
      <w:pPr>
        <w:rPr>
          <w:rFonts w:eastAsia="Calibri" w:cstheme="minorHAnsi"/>
          <w:iCs/>
          <w:sz w:val="24"/>
          <w:szCs w:val="24"/>
        </w:rPr>
      </w:pPr>
    </w:p>
    <w:p w14:paraId="03961195" w14:textId="77777777" w:rsidR="006F646F" w:rsidRPr="00E40E8A" w:rsidRDefault="006F646F" w:rsidP="006F646F">
      <w:pPr>
        <w:ind w:left="360"/>
        <w:rPr>
          <w:rFonts w:eastAsia="Calibri" w:cstheme="minorHAnsi"/>
          <w:b/>
          <w:bCs/>
          <w:iCs/>
          <w:sz w:val="24"/>
          <w:szCs w:val="24"/>
        </w:rPr>
      </w:pPr>
      <w:r w:rsidRPr="00E40E8A">
        <w:rPr>
          <w:rFonts w:eastAsia="Calibri" w:cstheme="minorHAnsi"/>
          <w:b/>
          <w:bCs/>
          <w:iCs/>
          <w:sz w:val="24"/>
          <w:szCs w:val="24"/>
        </w:rPr>
        <w:t>What is consumption of resources in a landfill?</w:t>
      </w:r>
    </w:p>
    <w:p w14:paraId="2F2D313C" w14:textId="77777777" w:rsidR="006F646F" w:rsidRPr="00E40E8A" w:rsidRDefault="006F646F" w:rsidP="006F646F">
      <w:pPr>
        <w:ind w:left="360"/>
        <w:rPr>
          <w:rFonts w:ascii="Calibri" w:eastAsia="Calibri" w:hAnsi="Calibri" w:cs="Calibri"/>
          <w:sz w:val="24"/>
          <w:szCs w:val="24"/>
        </w:rPr>
      </w:pPr>
      <w:r w:rsidRPr="00E40E8A">
        <w:rPr>
          <w:rFonts w:ascii="Calibri" w:eastAsia="Calibri" w:hAnsi="Calibri" w:cs="Calibri"/>
          <w:sz w:val="24"/>
          <w:szCs w:val="24"/>
        </w:rPr>
        <w:t>The consumption of resources in a landfill refers to the use of resources, such as energy, water, and raw materials, that are required to operate and maintain a landfill. Landfills consume resources in several ways, including:</w:t>
      </w:r>
    </w:p>
    <w:p w14:paraId="73C695CC" w14:textId="77777777" w:rsidR="006F646F" w:rsidRPr="00E40E8A" w:rsidRDefault="006F646F" w:rsidP="006F646F">
      <w:pPr>
        <w:pStyle w:val="ListParagraph"/>
        <w:numPr>
          <w:ilvl w:val="1"/>
          <w:numId w:val="33"/>
        </w:numPr>
        <w:spacing w:after="0"/>
        <w:rPr>
          <w:rFonts w:ascii="Calibri" w:eastAsia="Calibri" w:hAnsi="Calibri" w:cs="Calibri"/>
          <w:sz w:val="24"/>
          <w:szCs w:val="24"/>
        </w:rPr>
      </w:pPr>
      <w:r w:rsidRPr="00E40E8A">
        <w:rPr>
          <w:rFonts w:ascii="Calibri" w:eastAsia="Calibri" w:hAnsi="Calibri" w:cs="Calibri"/>
          <w:sz w:val="24"/>
          <w:szCs w:val="24"/>
        </w:rPr>
        <w:t>Construction and operation of the landfill facility: This includes the use of energy and raw materials to construct the landfill, install infrastructure (such as access roads and monitoring systems), and operate heavy equipment (such as bulldozers and excavators) to manage and compact waste.</w:t>
      </w:r>
    </w:p>
    <w:p w14:paraId="246DAC7F" w14:textId="77777777" w:rsidR="006F646F" w:rsidRPr="00E40E8A" w:rsidRDefault="006F646F" w:rsidP="006F646F">
      <w:pPr>
        <w:spacing w:after="0"/>
        <w:ind w:left="360"/>
        <w:rPr>
          <w:rFonts w:ascii="Calibri" w:eastAsia="Calibri" w:hAnsi="Calibri" w:cs="Calibri"/>
          <w:sz w:val="24"/>
          <w:szCs w:val="24"/>
        </w:rPr>
      </w:pPr>
    </w:p>
    <w:p w14:paraId="1E7F4181" w14:textId="77777777" w:rsidR="006F646F" w:rsidRPr="00E40E8A" w:rsidRDefault="006F646F" w:rsidP="006F646F">
      <w:pPr>
        <w:pStyle w:val="ListParagraph"/>
        <w:numPr>
          <w:ilvl w:val="1"/>
          <w:numId w:val="33"/>
        </w:numPr>
        <w:spacing w:after="0"/>
        <w:rPr>
          <w:rFonts w:ascii="Calibri" w:eastAsia="Calibri" w:hAnsi="Calibri" w:cs="Calibri"/>
          <w:sz w:val="24"/>
          <w:szCs w:val="24"/>
        </w:rPr>
      </w:pPr>
      <w:r w:rsidRPr="00E40E8A">
        <w:rPr>
          <w:rFonts w:ascii="Calibri" w:eastAsia="Calibri" w:hAnsi="Calibri" w:cs="Calibri"/>
          <w:sz w:val="24"/>
          <w:szCs w:val="24"/>
        </w:rPr>
        <w:t>Transportation of waste: Waste must be transported to the landfill from its point of origin, which requires energy and resources to operate vehicles, such as garbage trucks and hauling equipment.</w:t>
      </w:r>
    </w:p>
    <w:p w14:paraId="1300C2A4" w14:textId="77777777" w:rsidR="006F646F" w:rsidRPr="00E40E8A" w:rsidRDefault="006F646F" w:rsidP="006F646F">
      <w:pPr>
        <w:spacing w:after="0"/>
        <w:ind w:left="360"/>
        <w:rPr>
          <w:rFonts w:ascii="Calibri" w:eastAsia="Calibri" w:hAnsi="Calibri" w:cs="Calibri"/>
          <w:sz w:val="24"/>
          <w:szCs w:val="24"/>
        </w:rPr>
      </w:pPr>
    </w:p>
    <w:p w14:paraId="1F37B9B7" w14:textId="77777777" w:rsidR="006F646F" w:rsidRPr="00E40E8A" w:rsidRDefault="006F646F" w:rsidP="006F646F">
      <w:pPr>
        <w:pStyle w:val="ListParagraph"/>
        <w:numPr>
          <w:ilvl w:val="1"/>
          <w:numId w:val="33"/>
        </w:numPr>
        <w:spacing w:after="0"/>
        <w:rPr>
          <w:rFonts w:ascii="Calibri" w:eastAsia="Calibri" w:hAnsi="Calibri" w:cs="Calibri"/>
          <w:sz w:val="24"/>
          <w:szCs w:val="24"/>
        </w:rPr>
      </w:pPr>
      <w:r w:rsidRPr="00E40E8A">
        <w:rPr>
          <w:rFonts w:ascii="Calibri" w:eastAsia="Calibri" w:hAnsi="Calibri" w:cs="Calibri"/>
          <w:sz w:val="24"/>
          <w:szCs w:val="24"/>
        </w:rPr>
        <w:t>Leachate management: Landfills generate leachate, which is liquid that is generated as water percolates through the waste. Leachate must be collected and treated to prevent contamination of the surrounding environment, which requires energy and resources.</w:t>
      </w:r>
    </w:p>
    <w:p w14:paraId="37DC546F" w14:textId="77777777" w:rsidR="006F646F" w:rsidRPr="00E40E8A" w:rsidRDefault="006F646F" w:rsidP="006F646F">
      <w:pPr>
        <w:spacing w:after="0"/>
        <w:ind w:left="360"/>
        <w:rPr>
          <w:rFonts w:ascii="Calibri" w:eastAsia="Calibri" w:hAnsi="Calibri" w:cs="Calibri"/>
          <w:sz w:val="24"/>
          <w:szCs w:val="24"/>
        </w:rPr>
      </w:pPr>
    </w:p>
    <w:p w14:paraId="1A9FED95" w14:textId="77777777" w:rsidR="006F646F" w:rsidRPr="00E40E8A" w:rsidRDefault="006F646F" w:rsidP="006F646F">
      <w:pPr>
        <w:pStyle w:val="ListParagraph"/>
        <w:numPr>
          <w:ilvl w:val="1"/>
          <w:numId w:val="33"/>
        </w:numPr>
        <w:spacing w:after="0"/>
        <w:rPr>
          <w:rFonts w:ascii="Calibri" w:eastAsia="Calibri" w:hAnsi="Calibri" w:cs="Calibri"/>
          <w:sz w:val="24"/>
          <w:szCs w:val="24"/>
        </w:rPr>
      </w:pPr>
      <w:r w:rsidRPr="00E40E8A">
        <w:rPr>
          <w:rFonts w:ascii="Calibri" w:eastAsia="Calibri" w:hAnsi="Calibri" w:cs="Calibri"/>
          <w:sz w:val="24"/>
          <w:szCs w:val="24"/>
        </w:rPr>
        <w:t>Gas management: Landfills also generate methane gas, which must be collected and managed to prevent it from escaping into the atmosphere, where it can contribute to climate change.</w:t>
      </w:r>
    </w:p>
    <w:p w14:paraId="046A3D02" w14:textId="77777777" w:rsidR="006F646F" w:rsidRPr="00E40E8A" w:rsidRDefault="006F646F" w:rsidP="006F646F">
      <w:pPr>
        <w:ind w:left="360"/>
        <w:rPr>
          <w:rFonts w:ascii="Calibri" w:eastAsia="Calibri" w:hAnsi="Calibri" w:cs="Calibri"/>
          <w:sz w:val="24"/>
          <w:szCs w:val="24"/>
        </w:rPr>
      </w:pPr>
    </w:p>
    <w:p w14:paraId="7AB31AF6" w14:textId="77777777" w:rsidR="006F646F" w:rsidRPr="00E40E8A" w:rsidRDefault="006F646F" w:rsidP="006F646F">
      <w:pPr>
        <w:ind w:left="360"/>
        <w:rPr>
          <w:rFonts w:ascii="Calibri" w:eastAsia="Calibri" w:hAnsi="Calibri" w:cs="Calibri"/>
          <w:sz w:val="24"/>
          <w:szCs w:val="24"/>
        </w:rPr>
      </w:pPr>
      <w:r w:rsidRPr="00E40E8A">
        <w:rPr>
          <w:rFonts w:ascii="Calibri" w:eastAsia="Calibri" w:hAnsi="Calibri" w:cs="Calibri"/>
          <w:sz w:val="24"/>
          <w:szCs w:val="24"/>
        </w:rPr>
        <w:t xml:space="preserve">The consumption of resources in landfills can have environmental impacts, including air pollution, water pollution, and greenhouse gas emissions. Therefore, landfill operators must carefully manage their operations to minimize resource consumption and environmental impacts. This may include implementing a circular economy using in part energy-efficient practices, which use renewable energy sources, and implementing waste reduction and recycling programs to reduce the amount of waste that enters the landfill. </w:t>
      </w:r>
    </w:p>
    <w:p w14:paraId="441E5A22" w14:textId="77777777" w:rsidR="006F646F" w:rsidRPr="0041791D" w:rsidRDefault="006F646F" w:rsidP="006F646F">
      <w:pPr>
        <w:ind w:left="360"/>
        <w:rPr>
          <w:rFonts w:eastAsia="Calibri" w:cstheme="minorHAnsi"/>
          <w:iCs/>
          <w:sz w:val="24"/>
          <w:szCs w:val="24"/>
        </w:rPr>
      </w:pPr>
    </w:p>
    <w:p w14:paraId="5B74B379" w14:textId="77777777" w:rsidR="006F646F" w:rsidRPr="0041791D" w:rsidRDefault="006F646F" w:rsidP="006F646F">
      <w:pPr>
        <w:ind w:left="360"/>
        <w:rPr>
          <w:rFonts w:eastAsia="Calibri" w:cstheme="minorHAnsi"/>
          <w:sz w:val="24"/>
          <w:szCs w:val="24"/>
        </w:rPr>
      </w:pPr>
    </w:p>
    <w:p w14:paraId="27162318" w14:textId="77777777" w:rsidR="006F646F" w:rsidRPr="0041791D" w:rsidRDefault="006F646F" w:rsidP="006F646F">
      <w:pPr>
        <w:keepNext/>
        <w:keepLines/>
        <w:numPr>
          <w:ilvl w:val="0"/>
          <w:numId w:val="16"/>
        </w:numPr>
        <w:spacing w:before="240" w:after="240"/>
        <w:outlineLvl w:val="1"/>
        <w:rPr>
          <w:rFonts w:eastAsia="Times New Roman" w:cstheme="minorHAnsi"/>
          <w:color w:val="2E74B5"/>
          <w:sz w:val="24"/>
          <w:szCs w:val="24"/>
        </w:rPr>
      </w:pPr>
      <w:bookmarkStart w:id="26" w:name="_Toc128666860"/>
      <w:bookmarkStart w:id="27" w:name="_Toc129256695"/>
      <w:r w:rsidRPr="0041791D">
        <w:rPr>
          <w:rFonts w:eastAsia="Times New Roman" w:cstheme="minorHAnsi"/>
          <w:color w:val="2E74B5"/>
          <w:sz w:val="24"/>
          <w:szCs w:val="24"/>
        </w:rPr>
        <w:t>Membership Composition</w:t>
      </w:r>
      <w:bookmarkEnd w:id="26"/>
      <w:bookmarkEnd w:id="27"/>
    </w:p>
    <w:p w14:paraId="174D060B"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The A.1 Subcommittee membership is composed of four primary representative groups:  </w:t>
      </w:r>
    </w:p>
    <w:p w14:paraId="00EDA1ED" w14:textId="77777777" w:rsidR="006F646F" w:rsidRPr="0041791D" w:rsidRDefault="006F646F" w:rsidP="006F646F">
      <w:pPr>
        <w:numPr>
          <w:ilvl w:val="0"/>
          <w:numId w:val="18"/>
        </w:numPr>
        <w:spacing w:line="360" w:lineRule="auto"/>
        <w:contextualSpacing/>
        <w:rPr>
          <w:rFonts w:eastAsia="Calibri" w:cstheme="minorHAnsi"/>
          <w:sz w:val="24"/>
          <w:szCs w:val="24"/>
        </w:rPr>
      </w:pPr>
      <w:r w:rsidRPr="0041791D">
        <w:rPr>
          <w:rFonts w:eastAsia="Calibri" w:cstheme="minorHAnsi"/>
          <w:sz w:val="24"/>
          <w:szCs w:val="24"/>
        </w:rPr>
        <w:t>Franchisee: 3 members (Ian Macnab, Ginger Rough, Bill Bromann, all of Republic Services)</w:t>
      </w:r>
    </w:p>
    <w:p w14:paraId="3769B0FA" w14:textId="5C46D27B" w:rsidR="006F646F" w:rsidRPr="00B97303" w:rsidRDefault="006F646F" w:rsidP="006F646F">
      <w:pPr>
        <w:numPr>
          <w:ilvl w:val="0"/>
          <w:numId w:val="18"/>
        </w:numPr>
        <w:spacing w:line="360" w:lineRule="auto"/>
        <w:contextualSpacing/>
        <w:rPr>
          <w:rFonts w:eastAsia="Calibri" w:cstheme="minorHAnsi"/>
          <w:sz w:val="24"/>
          <w:szCs w:val="24"/>
        </w:rPr>
      </w:pPr>
      <w:r w:rsidRPr="0041791D">
        <w:rPr>
          <w:rFonts w:eastAsia="Calibri" w:cstheme="minorHAnsi"/>
          <w:sz w:val="24"/>
          <w:szCs w:val="24"/>
        </w:rPr>
        <w:t xml:space="preserve">Benton County community </w:t>
      </w:r>
      <w:r w:rsidRPr="0041791D">
        <w:rPr>
          <w:rFonts w:eastAsia="Calibri" w:cstheme="minorHAnsi"/>
          <w:spacing w:val="-2"/>
          <w:sz w:val="24"/>
          <w:szCs w:val="24"/>
        </w:rPr>
        <w:t>members</w:t>
      </w:r>
      <w:r w:rsidRPr="0041791D">
        <w:rPr>
          <w:rFonts w:eastAsia="Calibri" w:cstheme="minorHAnsi"/>
          <w:sz w:val="24"/>
          <w:szCs w:val="24"/>
        </w:rPr>
        <w:t>:</w:t>
      </w:r>
      <w:r w:rsidRPr="0041791D" w:rsidDel="00537687">
        <w:rPr>
          <w:rFonts w:eastAsia="Calibri" w:cstheme="minorHAnsi"/>
          <w:sz w:val="24"/>
          <w:szCs w:val="24"/>
        </w:rPr>
        <w:t xml:space="preserve"> </w:t>
      </w:r>
      <w:r w:rsidRPr="0041791D">
        <w:rPr>
          <w:rFonts w:eastAsia="Calibri" w:cstheme="minorHAnsi"/>
          <w:sz w:val="24"/>
          <w:szCs w:val="24"/>
        </w:rPr>
        <w:t xml:space="preserve">4 members (Chuck Gilbert*, Mark Yeager*, Ken Eklund*, Paul </w:t>
      </w:r>
      <w:commentRangeStart w:id="28"/>
      <w:r w:rsidRPr="00B97303">
        <w:rPr>
          <w:rFonts w:eastAsia="Calibri" w:cstheme="minorHAnsi"/>
          <w:sz w:val="24"/>
          <w:szCs w:val="24"/>
        </w:rPr>
        <w:t>Nietfeld</w:t>
      </w:r>
      <w:commentRangeEnd w:id="28"/>
      <w:r w:rsidRPr="00B97303">
        <w:rPr>
          <w:rFonts w:eastAsia="Calibri" w:cstheme="minorHAnsi"/>
          <w:sz w:val="24"/>
          <w:szCs w:val="24"/>
        </w:rPr>
        <w:commentReference w:id="28"/>
      </w:r>
      <w:r w:rsidRPr="00B97303">
        <w:rPr>
          <w:rFonts w:eastAsia="Calibri" w:cstheme="minorHAnsi"/>
          <w:sz w:val="24"/>
          <w:szCs w:val="24"/>
        </w:rPr>
        <w:t>)</w:t>
      </w:r>
    </w:p>
    <w:p w14:paraId="6CB74348" w14:textId="77777777" w:rsidR="006F646F" w:rsidRPr="0041791D" w:rsidRDefault="006F646F" w:rsidP="006F646F">
      <w:pPr>
        <w:numPr>
          <w:ilvl w:val="0"/>
          <w:numId w:val="18"/>
        </w:numPr>
        <w:spacing w:line="360" w:lineRule="auto"/>
        <w:contextualSpacing/>
        <w:rPr>
          <w:rFonts w:eastAsia="Calibri" w:cstheme="minorHAnsi"/>
          <w:sz w:val="24"/>
          <w:szCs w:val="24"/>
        </w:rPr>
      </w:pPr>
      <w:r w:rsidRPr="0041791D">
        <w:rPr>
          <w:rFonts w:eastAsia="Calibri" w:cstheme="minorHAnsi"/>
          <w:sz w:val="24"/>
          <w:szCs w:val="24"/>
        </w:rPr>
        <w:t>County governments: 3 members (Daniel Redick (Benton County), Brian May (Marion County), Shane Sanderson (Linn County))</w:t>
      </w:r>
    </w:p>
    <w:p w14:paraId="4D9D0C01" w14:textId="77777777" w:rsidR="006F646F" w:rsidRPr="0041791D" w:rsidRDefault="006F646F" w:rsidP="006F646F">
      <w:pPr>
        <w:spacing w:line="360" w:lineRule="auto"/>
        <w:ind w:left="360"/>
        <w:rPr>
          <w:rFonts w:eastAsia="Calibri" w:cstheme="minorHAnsi"/>
          <w:sz w:val="24"/>
          <w:szCs w:val="24"/>
        </w:rPr>
      </w:pPr>
      <w:r w:rsidRPr="0041791D">
        <w:rPr>
          <w:rFonts w:eastAsia="Calibri" w:cstheme="minorHAnsi"/>
          <w:sz w:val="24"/>
          <w:szCs w:val="24"/>
        </w:rPr>
        <w:t>Daniel Redick, a Benton County Community Development Department staff member, acts as Chair of this subcommittee.</w:t>
      </w:r>
    </w:p>
    <w:p w14:paraId="1CE25D1B" w14:textId="77777777" w:rsidR="006F646F" w:rsidRPr="0041791D" w:rsidRDefault="006F646F" w:rsidP="006F646F">
      <w:pPr>
        <w:spacing w:line="360" w:lineRule="auto"/>
        <w:ind w:left="360"/>
        <w:rPr>
          <w:rFonts w:eastAsia="Calibri" w:cstheme="minorHAnsi"/>
          <w:sz w:val="24"/>
          <w:szCs w:val="24"/>
        </w:rPr>
      </w:pPr>
      <w:r w:rsidRPr="0041791D">
        <w:rPr>
          <w:rFonts w:eastAsia="Calibri" w:cstheme="minorHAnsi"/>
          <w:sz w:val="24"/>
          <w:szCs w:val="24"/>
        </w:rPr>
        <w:t xml:space="preserve">Sam Imperati, the workgroup facilitator, normally attends subcommittee meetings and provides guidance </w:t>
      </w:r>
      <w:proofErr w:type="gramStart"/>
      <w:r w:rsidRPr="0041791D">
        <w:rPr>
          <w:rFonts w:eastAsia="Calibri" w:cstheme="minorHAnsi"/>
          <w:sz w:val="24"/>
          <w:szCs w:val="24"/>
        </w:rPr>
        <w:t>in regard to</w:t>
      </w:r>
      <w:proofErr w:type="gramEnd"/>
      <w:r w:rsidRPr="0041791D">
        <w:rPr>
          <w:rFonts w:eastAsia="Calibri" w:cstheme="minorHAnsi"/>
          <w:sz w:val="24"/>
          <w:szCs w:val="24"/>
        </w:rPr>
        <w:t xml:space="preserve"> aligning with workgroup objectives. </w:t>
      </w:r>
    </w:p>
    <w:p w14:paraId="331A8703" w14:textId="77777777" w:rsidR="006F646F" w:rsidRPr="0041791D" w:rsidRDefault="006F646F" w:rsidP="006F646F">
      <w:pPr>
        <w:pBdr>
          <w:top w:val="nil"/>
          <w:left w:val="nil"/>
          <w:bottom w:val="nil"/>
          <w:right w:val="nil"/>
          <w:between w:val="nil"/>
          <w:bar w:val="nil"/>
        </w:pBdr>
        <w:spacing w:line="360" w:lineRule="auto"/>
        <w:ind w:left="360"/>
        <w:rPr>
          <w:rFonts w:eastAsia="Arial Unicode MS" w:cstheme="minorHAnsi"/>
          <w:color w:val="000000"/>
          <w:sz w:val="24"/>
          <w:szCs w:val="24"/>
          <w:u w:color="000000"/>
          <w:bdr w:val="nil"/>
          <w14:textOutline w14:w="0" w14:cap="flat" w14:cmpd="sng" w14:algn="ctr">
            <w14:noFill/>
            <w14:prstDash w14:val="solid"/>
            <w14:bevel/>
          </w14:textOutline>
        </w:rPr>
      </w:pPr>
      <w:r w:rsidRPr="0041791D">
        <w:rPr>
          <w:rFonts w:eastAsia="Arial Unicode MS" w:cstheme="minorHAnsi"/>
          <w:color w:val="000000"/>
          <w:sz w:val="24"/>
          <w:szCs w:val="24"/>
          <w:u w:color="000000"/>
          <w:bdr w:val="nil"/>
          <w14:textOutline w14:w="0" w14:cap="flat" w14:cmpd="sng" w14:algn="ctr">
            <w14:noFill/>
            <w14:prstDash w14:val="solid"/>
            <w14:bevel/>
          </w14:textOutline>
        </w:rPr>
        <w:t xml:space="preserve">* </w:t>
      </w:r>
      <w:proofErr w:type="gramStart"/>
      <w:r w:rsidRPr="0041791D">
        <w:rPr>
          <w:rFonts w:eastAsia="Arial Unicode MS" w:cstheme="minorHAnsi"/>
          <w:color w:val="000000"/>
          <w:sz w:val="24"/>
          <w:szCs w:val="24"/>
          <w:u w:color="000000"/>
          <w:bdr w:val="nil"/>
          <w14:textOutline w14:w="0" w14:cap="flat" w14:cmpd="sng" w14:algn="ctr">
            <w14:noFill/>
            <w14:prstDash w14:val="solid"/>
            <w14:bevel/>
          </w14:textOutline>
        </w:rPr>
        <w:t>Also</w:t>
      </w:r>
      <w:proofErr w:type="gramEnd"/>
      <w:r w:rsidRPr="0041791D">
        <w:rPr>
          <w:rFonts w:eastAsia="Arial Unicode MS" w:cstheme="minorHAnsi"/>
          <w:color w:val="000000"/>
          <w:sz w:val="24"/>
          <w:szCs w:val="24"/>
          <w:u w:color="000000"/>
          <w:bdr w:val="nil"/>
          <w14:textOutline w14:w="0" w14:cap="flat" w14:cmpd="sng" w14:algn="ctr">
            <w14:noFill/>
            <w14:prstDash w14:val="solid"/>
            <w14:bevel/>
          </w14:textOutline>
        </w:rPr>
        <w:t xml:space="preserve"> members of the Solid Waste Advisory Council and the Disposal Site Advisory Committee for Benton County</w:t>
      </w:r>
    </w:p>
    <w:p w14:paraId="1BBA4C64" w14:textId="77777777" w:rsidR="006F646F" w:rsidRPr="0041791D" w:rsidRDefault="006F646F" w:rsidP="006F646F">
      <w:pPr>
        <w:spacing w:line="360" w:lineRule="auto"/>
        <w:ind w:left="360"/>
        <w:rPr>
          <w:rFonts w:eastAsia="Calibri" w:cstheme="minorHAnsi"/>
          <w:sz w:val="24"/>
          <w:szCs w:val="24"/>
        </w:rPr>
      </w:pPr>
    </w:p>
    <w:p w14:paraId="55116B0C" w14:textId="77777777" w:rsidR="006F646F" w:rsidRPr="0041791D" w:rsidRDefault="006F646F" w:rsidP="006F646F">
      <w:pPr>
        <w:keepNext/>
        <w:keepLines/>
        <w:numPr>
          <w:ilvl w:val="0"/>
          <w:numId w:val="16"/>
        </w:numPr>
        <w:spacing w:before="240" w:after="240"/>
        <w:outlineLvl w:val="1"/>
        <w:rPr>
          <w:rFonts w:eastAsia="Times New Roman" w:cstheme="minorHAnsi"/>
          <w:color w:val="2E74B5"/>
          <w:sz w:val="24"/>
          <w:szCs w:val="24"/>
        </w:rPr>
      </w:pPr>
      <w:bookmarkStart w:id="29" w:name="_Toc128666861"/>
      <w:bookmarkStart w:id="30" w:name="_Toc129256696"/>
      <w:r w:rsidRPr="0041791D">
        <w:rPr>
          <w:rFonts w:eastAsia="Times New Roman" w:cstheme="minorHAnsi"/>
          <w:color w:val="2E74B5"/>
          <w:sz w:val="24"/>
          <w:szCs w:val="24"/>
        </w:rPr>
        <w:t>Document Organization</w:t>
      </w:r>
      <w:bookmarkEnd w:id="29"/>
      <w:bookmarkEnd w:id="30"/>
    </w:p>
    <w:p w14:paraId="18449995"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This document is organized into sections that correspond to the “Charge” items assigned to the A.1 Subcommittee (</w:t>
      </w:r>
      <w:proofErr w:type="gramStart"/>
      <w:r w:rsidRPr="0041791D">
        <w:rPr>
          <w:rFonts w:eastAsia="Calibri" w:cstheme="minorHAnsi"/>
          <w:sz w:val="24"/>
          <w:szCs w:val="24"/>
        </w:rPr>
        <w:t>i.e.</w:t>
      </w:r>
      <w:proofErr w:type="gramEnd"/>
      <w:r w:rsidRPr="0041791D">
        <w:rPr>
          <w:rFonts w:eastAsia="Calibri" w:cstheme="minorHAnsi"/>
          <w:sz w:val="24"/>
          <w:szCs w:val="24"/>
        </w:rPr>
        <w:t xml:space="preserve"> Sections 1, 2, 3 correspond to Charges 1, 2, 3). Section 4 provides additional detail on factors which may impact landfill life.</w:t>
      </w:r>
    </w:p>
    <w:p w14:paraId="1AC4A406"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References to specific sections in this document are in the format &lt;Section #</w:t>
      </w:r>
      <w:proofErr w:type="gramStart"/>
      <w:r w:rsidRPr="0041791D">
        <w:rPr>
          <w:rFonts w:eastAsia="Calibri" w:cstheme="minorHAnsi"/>
          <w:sz w:val="24"/>
          <w:szCs w:val="24"/>
        </w:rPr>
        <w:t>&gt;.&lt;</w:t>
      </w:r>
      <w:proofErr w:type="gramEnd"/>
      <w:r w:rsidRPr="0041791D">
        <w:rPr>
          <w:rFonts w:eastAsia="Calibri" w:cstheme="minorHAnsi"/>
          <w:sz w:val="24"/>
          <w:szCs w:val="24"/>
        </w:rPr>
        <w:t>Subsection  Letter&gt;.&lt;Subpart Designation&gt;.  Thus this location would be referenced as 0.C, and the A.1 Subcommittee Charge may be found in 0.</w:t>
      </w:r>
      <w:proofErr w:type="gramStart"/>
      <w:r w:rsidRPr="0041791D">
        <w:rPr>
          <w:rFonts w:eastAsia="Calibri" w:cstheme="minorHAnsi"/>
          <w:sz w:val="24"/>
          <w:szCs w:val="24"/>
        </w:rPr>
        <w:t>A.ii.</w:t>
      </w:r>
      <w:proofErr w:type="gramEnd"/>
    </w:p>
    <w:p w14:paraId="14A166B4" w14:textId="77777777" w:rsidR="006F646F" w:rsidRPr="0041791D" w:rsidRDefault="006F646F" w:rsidP="006F646F">
      <w:pPr>
        <w:rPr>
          <w:rFonts w:eastAsia="Calibri" w:cstheme="minorHAnsi"/>
          <w:sz w:val="24"/>
          <w:szCs w:val="24"/>
        </w:rPr>
      </w:pPr>
      <w:r w:rsidRPr="0041791D">
        <w:rPr>
          <w:rFonts w:eastAsia="Calibri" w:cstheme="minorHAnsi"/>
          <w:sz w:val="24"/>
          <w:szCs w:val="24"/>
        </w:rPr>
        <w:br w:type="page"/>
      </w:r>
    </w:p>
    <w:p w14:paraId="0EEDCFC6" w14:textId="77777777" w:rsidR="006F646F" w:rsidRPr="0041791D" w:rsidRDefault="006F646F" w:rsidP="006F646F">
      <w:pPr>
        <w:keepNext/>
        <w:keepLines/>
        <w:numPr>
          <w:ilvl w:val="0"/>
          <w:numId w:val="22"/>
        </w:numPr>
        <w:spacing w:after="240" w:line="240" w:lineRule="auto"/>
        <w:outlineLvl w:val="0"/>
        <w:rPr>
          <w:rFonts w:eastAsia="Times New Roman" w:cstheme="minorHAnsi"/>
          <w:color w:val="2E74B5"/>
          <w:sz w:val="24"/>
          <w:szCs w:val="24"/>
        </w:rPr>
      </w:pPr>
      <w:bookmarkStart w:id="31" w:name="_Toc128666862"/>
      <w:bookmarkStart w:id="32" w:name="_Toc129256697"/>
      <w:r w:rsidRPr="0041791D">
        <w:rPr>
          <w:rFonts w:eastAsia="Times New Roman" w:cstheme="minorHAnsi"/>
          <w:color w:val="2E74B5"/>
          <w:sz w:val="24"/>
          <w:szCs w:val="24"/>
        </w:rPr>
        <w:t xml:space="preserve">Table of </w:t>
      </w:r>
      <w:commentRangeStart w:id="33"/>
      <w:r w:rsidRPr="0041791D">
        <w:rPr>
          <w:rFonts w:eastAsia="Times New Roman" w:cstheme="minorHAnsi"/>
          <w:color w:val="2E74B5"/>
          <w:sz w:val="24"/>
          <w:szCs w:val="24"/>
        </w:rPr>
        <w:t>Findings</w:t>
      </w:r>
      <w:commentRangeEnd w:id="33"/>
      <w:r w:rsidRPr="0041791D">
        <w:rPr>
          <w:rStyle w:val="CommentReference"/>
          <w:rFonts w:cstheme="minorHAnsi"/>
          <w:sz w:val="24"/>
          <w:szCs w:val="24"/>
        </w:rPr>
        <w:commentReference w:id="33"/>
      </w:r>
      <w:bookmarkEnd w:id="31"/>
      <w:bookmarkEnd w:id="32"/>
    </w:p>
    <w:p w14:paraId="5448A43D" w14:textId="77777777" w:rsidR="006F646F" w:rsidRPr="0041791D" w:rsidRDefault="006F646F" w:rsidP="006F646F">
      <w:pPr>
        <w:spacing w:after="240" w:line="240" w:lineRule="auto"/>
        <w:rPr>
          <w:rFonts w:eastAsia="Calibri" w:cstheme="minorHAnsi"/>
          <w:b/>
          <w:bCs/>
          <w:sz w:val="24"/>
          <w:szCs w:val="24"/>
        </w:rPr>
      </w:pPr>
      <w:commentRangeStart w:id="34"/>
      <w:r w:rsidRPr="0041791D">
        <w:rPr>
          <w:rFonts w:eastAsia="Calibri" w:cstheme="minorHAnsi"/>
          <w:b/>
          <w:bCs/>
          <w:sz w:val="24"/>
          <w:szCs w:val="24"/>
        </w:rPr>
        <w:t xml:space="preserve">Key Findings: </w:t>
      </w:r>
      <w:commentRangeEnd w:id="34"/>
      <w:r w:rsidRPr="0041791D">
        <w:rPr>
          <w:rFonts w:eastAsia="Calibri" w:cstheme="minorHAnsi"/>
          <w:sz w:val="24"/>
          <w:szCs w:val="24"/>
        </w:rPr>
        <w:commentReference w:id="34"/>
      </w:r>
    </w:p>
    <w:p w14:paraId="01D192AD" w14:textId="77777777" w:rsidR="006F646F" w:rsidRPr="0041791D" w:rsidRDefault="006F646F" w:rsidP="006F646F">
      <w:pPr>
        <w:rPr>
          <w:rFonts w:cstheme="minorHAnsi"/>
          <w:sz w:val="24"/>
          <w:szCs w:val="24"/>
        </w:rPr>
      </w:pPr>
      <w:r w:rsidRPr="0041791D">
        <w:rPr>
          <w:rFonts w:eastAsia="Calibri" w:cstheme="minorHAnsi"/>
          <w:bCs/>
          <w:sz w:val="24"/>
          <w:szCs w:val="24"/>
        </w:rPr>
        <w:t xml:space="preserve">The A.1. Landfill Size, Capacity, and Longevity subcommittee proposes 36 findings as part of its overall charge. The committee is not in agreement on all findings, and the following findings have </w:t>
      </w:r>
      <w:r w:rsidRPr="0041791D">
        <w:rPr>
          <w:rFonts w:eastAsia="Calibri" w:cstheme="minorHAnsi"/>
          <w:b/>
          <w:sz w:val="24"/>
          <w:szCs w:val="24"/>
        </w:rPr>
        <w:t>NOT BEEN REVIEWED</w:t>
      </w:r>
      <w:r w:rsidRPr="0041791D">
        <w:rPr>
          <w:rFonts w:eastAsia="Calibri" w:cstheme="minorHAnsi"/>
          <w:bCs/>
          <w:sz w:val="24"/>
          <w:szCs w:val="24"/>
        </w:rPr>
        <w:t xml:space="preserve"> by the full subcommittee. To help guide the reader, the findings are generally grouped by topic. </w:t>
      </w:r>
      <w:r w:rsidRPr="0041791D">
        <w:rPr>
          <w:rFonts w:cstheme="minorHAnsi"/>
          <w:sz w:val="24"/>
          <w:szCs w:val="24"/>
        </w:rPr>
        <w:t>These recommendations do not represent consensuses of the subcommittee, and they may be revised by the subcommittee further.</w:t>
      </w:r>
    </w:p>
    <w:p w14:paraId="5FF4BA82" w14:textId="77777777" w:rsidR="006F646F" w:rsidRPr="0041791D" w:rsidRDefault="006F646F" w:rsidP="006F646F">
      <w:pPr>
        <w:spacing w:after="240" w:line="240" w:lineRule="auto"/>
        <w:rPr>
          <w:rFonts w:eastAsia="Calibri" w:cstheme="minorHAnsi"/>
          <w:bCs/>
          <w:sz w:val="24"/>
          <w:szCs w:val="24"/>
        </w:rPr>
      </w:pPr>
      <w:r w:rsidRPr="0041791D">
        <w:rPr>
          <w:rFonts w:eastAsia="Calibri" w:cstheme="minorHAnsi"/>
          <w:bCs/>
          <w:i/>
          <w:sz w:val="24"/>
          <w:szCs w:val="24"/>
        </w:rPr>
        <w:tab/>
        <w:t xml:space="preserve"> </w:t>
      </w:r>
    </w:p>
    <w:p w14:paraId="4AA3E7E4" w14:textId="77777777" w:rsidR="006F646F" w:rsidRPr="0041791D" w:rsidRDefault="006F646F" w:rsidP="006F646F">
      <w:pPr>
        <w:spacing w:after="240" w:line="240" w:lineRule="auto"/>
        <w:rPr>
          <w:rFonts w:eastAsia="Calibri" w:cstheme="minorHAnsi"/>
          <w:b/>
          <w:sz w:val="24"/>
          <w:szCs w:val="24"/>
          <w:u w:val="single"/>
        </w:rPr>
      </w:pPr>
      <w:commentRangeStart w:id="35"/>
      <w:r w:rsidRPr="0041791D">
        <w:rPr>
          <w:rFonts w:eastAsia="Calibri" w:cstheme="minorHAnsi"/>
          <w:b/>
          <w:sz w:val="24"/>
          <w:szCs w:val="24"/>
          <w:u w:val="single"/>
        </w:rPr>
        <w:t xml:space="preserve">Landfill Estimated </w:t>
      </w:r>
      <w:commentRangeEnd w:id="35"/>
      <w:r w:rsidRPr="0041791D">
        <w:rPr>
          <w:rFonts w:eastAsia="Calibri" w:cstheme="minorHAnsi"/>
          <w:sz w:val="24"/>
          <w:szCs w:val="24"/>
        </w:rPr>
        <w:commentReference w:id="35"/>
      </w:r>
      <w:r w:rsidRPr="0041791D">
        <w:rPr>
          <w:rFonts w:eastAsia="Calibri" w:cstheme="minorHAnsi"/>
          <w:b/>
          <w:sz w:val="24"/>
          <w:szCs w:val="24"/>
          <w:u w:val="single"/>
        </w:rPr>
        <w:t>Remaining Life, Projected End of Life (EOL)</w:t>
      </w:r>
    </w:p>
    <w:p w14:paraId="0D03FE6E" w14:textId="77777777" w:rsidR="006F646F" w:rsidRPr="0041791D" w:rsidRDefault="00415FF3" w:rsidP="006F646F">
      <w:pPr>
        <w:spacing w:after="240" w:line="240" w:lineRule="auto"/>
        <w:rPr>
          <w:rFonts w:eastAsia="Calibri" w:cstheme="minorHAnsi"/>
          <w:iCs/>
          <w:sz w:val="24"/>
          <w:szCs w:val="24"/>
        </w:rPr>
      </w:pPr>
      <w:hyperlink w:anchor="_Section_3:_Landfill" w:history="1">
        <w:r w:rsidR="006F646F" w:rsidRPr="0041791D">
          <w:rPr>
            <w:rStyle w:val="Hyperlink"/>
            <w:rFonts w:eastAsia="Calibri" w:cstheme="minorHAnsi"/>
            <w:sz w:val="24"/>
            <w:szCs w:val="24"/>
          </w:rPr>
          <w:t>LSCL-F-1</w:t>
        </w:r>
      </w:hyperlink>
      <w:r w:rsidR="006F646F" w:rsidRPr="0041791D">
        <w:rPr>
          <w:rFonts w:eastAsia="Calibri" w:cstheme="minorHAnsi"/>
          <w:iCs/>
          <w:sz w:val="24"/>
          <w:szCs w:val="24"/>
        </w:rPr>
        <w:t xml:space="preserve">: </w:t>
      </w:r>
      <w:commentRangeStart w:id="36"/>
      <w:r w:rsidR="006F646F" w:rsidRPr="00382DAD">
        <w:rPr>
          <w:rFonts w:ascii="Calibri" w:eastAsia="Calibri" w:hAnsi="Calibri" w:cs="Calibri"/>
          <w:sz w:val="24"/>
          <w:szCs w:val="24"/>
        </w:rPr>
        <w:t xml:space="preserve">In 2003 EOL was projected to be approximately 2074, with a Landfill Life estimate of 71 years (2003 East Triangle CUP document, Benton County file PC-03-11.pdf).  Twenty </w:t>
      </w:r>
      <w:commentRangeEnd w:id="36"/>
      <w:r w:rsidR="006F646F" w:rsidRPr="00382DAD">
        <w:rPr>
          <w:rFonts w:ascii="Calibri" w:eastAsia="Calibri" w:hAnsi="Calibri" w:cs="Calibri"/>
          <w:sz w:val="24"/>
          <w:szCs w:val="24"/>
        </w:rPr>
        <w:commentReference w:id="36"/>
      </w:r>
      <w:r w:rsidR="006F646F" w:rsidRPr="00382DAD">
        <w:rPr>
          <w:rFonts w:ascii="Calibri" w:eastAsia="Calibri" w:hAnsi="Calibri" w:cs="Calibri"/>
          <w:sz w:val="24"/>
          <w:szCs w:val="24"/>
        </w:rPr>
        <w:t xml:space="preserve">years later EOL is projected to be 2037-2039 with a Landfill Life of 14.5-16 years, a reduction of approximately 36 years of estimated life in 20 elapsed years. </w:t>
      </w:r>
      <w:r w:rsidR="006F646F" w:rsidRPr="00DD267F">
        <w:rPr>
          <w:rFonts w:ascii="Calibri" w:eastAsia="Calibri" w:hAnsi="Calibri" w:cs="Calibri"/>
          <w:sz w:val="24"/>
          <w:szCs w:val="24"/>
        </w:rPr>
        <w:t>In 2013 Valley Landfills Inc. reevaluated an area of Landfill Site zoned property in the northeast corner of the site for waste placement stability engineering.  This area was removed from the landfill’s site development plan based on updated state seismic guidance for landfill stability.</w:t>
      </w:r>
    </w:p>
    <w:p w14:paraId="6D448B50" w14:textId="77777777" w:rsidR="006F646F" w:rsidRDefault="00415FF3" w:rsidP="006F646F">
      <w:pPr>
        <w:spacing w:after="0" w:line="240" w:lineRule="auto"/>
        <w:rPr>
          <w:rFonts w:ascii="Times New Roman" w:hAnsi="Times New Roman" w:cs="Times New Roman"/>
          <w:sz w:val="24"/>
          <w:szCs w:val="24"/>
        </w:rPr>
      </w:pPr>
      <w:hyperlink w:anchor="_Section_3:_Landfill" w:history="1">
        <w:r w:rsidR="006F646F" w:rsidRPr="0041791D">
          <w:rPr>
            <w:rStyle w:val="Hyperlink"/>
            <w:rFonts w:eastAsia="Calibri" w:cstheme="minorHAnsi"/>
            <w:sz w:val="24"/>
            <w:szCs w:val="24"/>
          </w:rPr>
          <w:t>LSCL-F-2</w:t>
        </w:r>
      </w:hyperlink>
      <w:r w:rsidR="006F646F" w:rsidRPr="0041791D">
        <w:rPr>
          <w:rFonts w:eastAsia="Calibri" w:cstheme="minorHAnsi"/>
          <w:iCs/>
          <w:sz w:val="24"/>
          <w:szCs w:val="24"/>
        </w:rPr>
        <w:t>: In 2013 EOL was projected to be 2053-2062, with a Landfill Life estimate of 40-49 years</w:t>
      </w:r>
      <w:r w:rsidR="006F646F" w:rsidRPr="0041791D">
        <w:rPr>
          <w:rStyle w:val="FootnoteReference"/>
          <w:rFonts w:eastAsia="Calibri" w:cstheme="minorHAnsi"/>
          <w:sz w:val="24"/>
          <w:szCs w:val="24"/>
        </w:rPr>
        <w:footnoteReference w:id="1"/>
      </w:r>
      <w:r w:rsidR="006F646F" w:rsidRPr="0041791D">
        <w:rPr>
          <w:rFonts w:eastAsia="Calibri" w:cstheme="minorHAnsi"/>
          <w:iCs/>
          <w:sz w:val="24"/>
          <w:szCs w:val="24"/>
        </w:rPr>
        <w:t xml:space="preserve">. </w:t>
      </w:r>
      <w:commentRangeStart w:id="37"/>
      <w:commentRangeStart w:id="38"/>
      <w:r w:rsidR="006F646F">
        <w:rPr>
          <w:rFonts w:eastAsia="Calibri" w:cstheme="minorHAnsi"/>
          <w:iCs/>
          <w:sz w:val="24"/>
          <w:szCs w:val="24"/>
        </w:rPr>
        <w:t>Ten years later EOL is projected to be 2037-2039 with a Landfill Life of 14-16 years, a lower and upper range reduction of approximately 16 and 23 years respectively.</w:t>
      </w:r>
      <w:commentRangeEnd w:id="37"/>
      <w:r w:rsidR="006F646F">
        <w:rPr>
          <w:rStyle w:val="CommentReference"/>
          <w:rFonts w:ascii="Palatino Linotype" w:hAnsi="Palatino Linotype"/>
        </w:rPr>
        <w:commentReference w:id="37"/>
      </w:r>
      <w:commentRangeEnd w:id="38"/>
      <w:r w:rsidR="006F646F">
        <w:rPr>
          <w:rStyle w:val="CommentReference"/>
          <w:rFonts w:ascii="Palatino Linotype" w:hAnsi="Palatino Linotype"/>
        </w:rPr>
        <w:commentReference w:id="38"/>
      </w:r>
      <w:r w:rsidR="006F646F">
        <w:rPr>
          <w:rFonts w:ascii="Times New Roman" w:hAnsi="Times New Roman" w:cs="Times New Roman"/>
          <w:sz w:val="24"/>
          <w:szCs w:val="24"/>
        </w:rPr>
        <w:t xml:space="preserve"> </w:t>
      </w:r>
    </w:p>
    <w:p w14:paraId="79A17598" w14:textId="77777777" w:rsidR="006F646F" w:rsidRPr="008C1EFB" w:rsidRDefault="006F646F" w:rsidP="006F646F">
      <w:pPr>
        <w:spacing w:after="0" w:line="240" w:lineRule="auto"/>
        <w:rPr>
          <w:rFonts w:ascii="Times New Roman" w:hAnsi="Times New Roman" w:cs="Times New Roman"/>
          <w:sz w:val="24"/>
          <w:szCs w:val="24"/>
        </w:rPr>
      </w:pPr>
    </w:p>
    <w:commentRangeStart w:id="39"/>
    <w:p w14:paraId="42293A09" w14:textId="77777777" w:rsidR="006F646F" w:rsidRPr="0041791D" w:rsidRDefault="006F646F" w:rsidP="006F646F">
      <w:pPr>
        <w:spacing w:after="240" w:line="240" w:lineRule="auto"/>
        <w:contextualSpacing/>
        <w:rPr>
          <w:rFonts w:eastAsia="Calibri" w:cstheme="minorHAnsi"/>
          <w:iCs/>
          <w:sz w:val="24"/>
          <w:szCs w:val="24"/>
        </w:rPr>
      </w:pPr>
      <w:r w:rsidRPr="00356A0C">
        <w:fldChar w:fldCharType="begin"/>
      </w:r>
      <w:r w:rsidRPr="00356A0C">
        <w:instrText>HYPERLINK \l "_Section_3:_Landfill"</w:instrText>
      </w:r>
      <w:r w:rsidRPr="00356A0C">
        <w:fldChar w:fldCharType="separate"/>
      </w:r>
      <w:r w:rsidRPr="00356A0C">
        <w:rPr>
          <w:rFonts w:eastAsia="Calibri" w:cstheme="minorHAnsi"/>
          <w:iCs/>
          <w:sz w:val="24"/>
          <w:szCs w:val="24"/>
          <w:u w:val="single"/>
        </w:rPr>
        <w:t>LSCL-F-3</w:t>
      </w:r>
      <w:r w:rsidRPr="00356A0C">
        <w:rPr>
          <w:rFonts w:eastAsia="Calibri" w:cstheme="minorHAnsi"/>
          <w:iCs/>
          <w:sz w:val="24"/>
          <w:szCs w:val="24"/>
          <w:u w:val="single"/>
        </w:rPr>
        <w:fldChar w:fldCharType="end"/>
      </w:r>
      <w:commentRangeEnd w:id="39"/>
      <w:r w:rsidRPr="00356A0C">
        <w:rPr>
          <w:rStyle w:val="CommentReference"/>
          <w:rFonts w:ascii="Palatino Linotype" w:hAnsi="Palatino Linotype"/>
        </w:rPr>
        <w:commentReference w:id="39"/>
      </w:r>
      <w:r w:rsidRPr="00356A0C">
        <w:rPr>
          <w:rFonts w:eastAsia="Calibri" w:cstheme="minorHAnsi"/>
          <w:iCs/>
          <w:sz w:val="24"/>
          <w:szCs w:val="24"/>
        </w:rPr>
        <w:t>:</w:t>
      </w:r>
      <w:r w:rsidRPr="0041791D">
        <w:rPr>
          <w:rFonts w:eastAsia="Calibri" w:cstheme="minorHAnsi"/>
          <w:iCs/>
          <w:sz w:val="24"/>
          <w:szCs w:val="24"/>
        </w:rPr>
        <w:t xml:space="preserve"> Current (1Q2023) estimate for landfill EOL = CY 2037 – 2039</w:t>
      </w:r>
      <w:r w:rsidRPr="000175A4">
        <w:rPr>
          <w:rFonts w:eastAsia="Calibri" w:cstheme="minorHAnsi"/>
          <w:iCs/>
          <w:sz w:val="24"/>
          <w:szCs w:val="24"/>
        </w:rPr>
        <w:t xml:space="preserve">, </w:t>
      </w:r>
      <w:r w:rsidRPr="00311020">
        <w:rPr>
          <w:rFonts w:eastAsia="Calibri" w:cstheme="minorHAnsi"/>
          <w:iCs/>
          <w:sz w:val="24"/>
          <w:szCs w:val="24"/>
        </w:rPr>
        <w:t xml:space="preserve">with a landfill life estimate of 14-16 </w:t>
      </w:r>
      <w:proofErr w:type="gramStart"/>
      <w:r w:rsidRPr="00311020">
        <w:rPr>
          <w:rFonts w:eastAsia="Calibri" w:cstheme="minorHAnsi"/>
          <w:iCs/>
          <w:sz w:val="24"/>
          <w:szCs w:val="24"/>
        </w:rPr>
        <w:t>years</w:t>
      </w:r>
      <w:r w:rsidRPr="000175A4">
        <w:rPr>
          <w:rFonts w:eastAsia="Calibri" w:cstheme="minorHAnsi"/>
          <w:iCs/>
          <w:sz w:val="24"/>
          <w:szCs w:val="24"/>
        </w:rPr>
        <w:t>,</w:t>
      </w:r>
      <w:r>
        <w:rPr>
          <w:rFonts w:eastAsia="Calibri" w:cstheme="minorHAnsi"/>
          <w:iCs/>
          <w:sz w:val="24"/>
          <w:szCs w:val="24"/>
        </w:rPr>
        <w:t xml:space="preserve"> </w:t>
      </w:r>
      <w:r w:rsidRPr="0041791D">
        <w:rPr>
          <w:rFonts w:eastAsia="Calibri" w:cstheme="minorHAnsi"/>
          <w:iCs/>
          <w:sz w:val="24"/>
          <w:szCs w:val="24"/>
        </w:rPr>
        <w:t xml:space="preserve"> based</w:t>
      </w:r>
      <w:proofErr w:type="gramEnd"/>
      <w:r w:rsidRPr="0041791D">
        <w:rPr>
          <w:rFonts w:eastAsia="Calibri" w:cstheme="minorHAnsi"/>
          <w:iCs/>
          <w:sz w:val="24"/>
          <w:szCs w:val="24"/>
        </w:rPr>
        <w:t xml:space="preserve"> on an annual intake level of 1.0 – 1.1 </w:t>
      </w:r>
      <w:proofErr w:type="spellStart"/>
      <w:r w:rsidRPr="0041791D">
        <w:rPr>
          <w:rFonts w:eastAsia="Calibri" w:cstheme="minorHAnsi"/>
          <w:iCs/>
          <w:sz w:val="24"/>
          <w:szCs w:val="24"/>
        </w:rPr>
        <w:t>MTons</w:t>
      </w:r>
      <w:proofErr w:type="spellEnd"/>
      <w:r w:rsidRPr="0041791D">
        <w:rPr>
          <w:rFonts w:eastAsia="Calibri" w:cstheme="minorHAnsi"/>
          <w:iCs/>
          <w:sz w:val="24"/>
          <w:szCs w:val="24"/>
        </w:rPr>
        <w:t>/year and a density of 0.999 Tons/yd3, assuming the quarry area will be fully excavated by the time the current disposal areas are full.</w:t>
      </w:r>
      <w:r w:rsidRPr="0041791D">
        <w:rPr>
          <w:rFonts w:eastAsia="Calibri" w:cstheme="minorHAnsi"/>
          <w:sz w:val="24"/>
          <w:szCs w:val="24"/>
        </w:rPr>
        <w:t xml:space="preserve"> </w:t>
      </w:r>
      <w:commentRangeStart w:id="40"/>
      <w:r w:rsidRPr="0041791D">
        <w:rPr>
          <w:rFonts w:eastAsia="Calibri" w:cstheme="minorHAnsi"/>
          <w:sz w:val="24"/>
          <w:szCs w:val="24"/>
        </w:rPr>
        <w:t xml:space="preserve">Valley Landfills, Inc. </w:t>
      </w:r>
      <w:commentRangeEnd w:id="40"/>
      <w:r w:rsidRPr="0041791D">
        <w:rPr>
          <w:rFonts w:eastAsia="Calibri" w:cstheme="minorHAnsi"/>
          <w:sz w:val="24"/>
          <w:szCs w:val="24"/>
        </w:rPr>
        <w:commentReference w:id="40"/>
      </w:r>
      <w:r w:rsidRPr="0041791D">
        <w:rPr>
          <w:rFonts w:eastAsia="Calibri" w:cstheme="minorHAnsi"/>
          <w:sz w:val="24"/>
          <w:szCs w:val="24"/>
        </w:rPr>
        <w:t xml:space="preserve">has represented that this nominal life projection (“baseline”) is derived from a few data points in annual </w:t>
      </w:r>
      <w:proofErr w:type="gramStart"/>
      <w:r w:rsidRPr="0041791D">
        <w:rPr>
          <w:rFonts w:eastAsia="Calibri" w:cstheme="minorHAnsi"/>
          <w:sz w:val="24"/>
          <w:szCs w:val="24"/>
        </w:rPr>
        <w:t>measurements, and</w:t>
      </w:r>
      <w:proofErr w:type="gramEnd"/>
      <w:r w:rsidRPr="0041791D">
        <w:rPr>
          <w:rFonts w:eastAsia="Calibri" w:cstheme="minorHAnsi"/>
          <w:sz w:val="24"/>
          <w:szCs w:val="24"/>
        </w:rPr>
        <w:t xml:space="preserve"> is the product of a modeling process that is standard in the landfill industry. </w:t>
      </w:r>
      <w:commentRangeStart w:id="41"/>
      <w:r w:rsidRPr="0041791D">
        <w:rPr>
          <w:rFonts w:eastAsia="Calibri" w:cstheme="minorHAnsi"/>
          <w:sz w:val="24"/>
          <w:szCs w:val="24"/>
        </w:rPr>
        <w:t xml:space="preserve">Valley Landfills, Inc. acknowledges </w:t>
      </w:r>
      <w:commentRangeEnd w:id="41"/>
      <w:r w:rsidRPr="0041791D">
        <w:rPr>
          <w:rStyle w:val="CommentReference"/>
          <w:rFonts w:cstheme="minorHAnsi"/>
          <w:sz w:val="24"/>
          <w:szCs w:val="24"/>
        </w:rPr>
        <w:commentReference w:id="41"/>
      </w:r>
      <w:r w:rsidRPr="0041791D">
        <w:rPr>
          <w:rFonts w:eastAsia="Calibri" w:cstheme="minorHAnsi"/>
          <w:sz w:val="24"/>
          <w:szCs w:val="24"/>
        </w:rPr>
        <w:t xml:space="preserve">that a variety of factors, including human factors, can impact landfill site life, but are not included in this baseline calculation. Valley Landfills, Inc.’s baseline projection of a 2037-2039 closure date is based both upon existing demand and Valley Landfill Inc.’s efforts to maintain and/or grow its service area and business in the market. </w:t>
      </w:r>
    </w:p>
    <w:p w14:paraId="42A441D0" w14:textId="77777777" w:rsidR="006F646F" w:rsidRPr="0041791D" w:rsidRDefault="006F646F" w:rsidP="006F646F">
      <w:pPr>
        <w:spacing w:after="240" w:line="240" w:lineRule="auto"/>
        <w:ind w:left="720"/>
        <w:contextualSpacing/>
        <w:rPr>
          <w:rFonts w:eastAsia="Calibri" w:cstheme="minorHAnsi"/>
          <w:iCs/>
          <w:sz w:val="24"/>
          <w:szCs w:val="24"/>
        </w:rPr>
      </w:pPr>
    </w:p>
    <w:commentRangeStart w:id="42"/>
    <w:p w14:paraId="327D9A89" w14:textId="77777777" w:rsidR="006F646F" w:rsidRPr="00B82057" w:rsidRDefault="006F646F" w:rsidP="006F646F">
      <w:pPr>
        <w:spacing w:after="0" w:line="240" w:lineRule="auto"/>
        <w:rPr>
          <w:rFonts w:ascii="Times New Roman" w:hAnsi="Times New Roman" w:cs="Times New Roman"/>
          <w:sz w:val="24"/>
          <w:szCs w:val="24"/>
        </w:rPr>
      </w:pPr>
      <w:r w:rsidRPr="00356A0C">
        <w:fldChar w:fldCharType="begin"/>
      </w:r>
      <w:r w:rsidRPr="00356A0C">
        <w:instrText>HYPERLINK \l "_Section_3:_Landfill"</w:instrText>
      </w:r>
      <w:r w:rsidRPr="00356A0C">
        <w:fldChar w:fldCharType="separate"/>
      </w:r>
      <w:r w:rsidRPr="00356A0C">
        <w:rPr>
          <w:rStyle w:val="Hyperlink"/>
          <w:rFonts w:eastAsia="Calibri" w:cstheme="minorHAnsi"/>
          <w:sz w:val="24"/>
          <w:szCs w:val="24"/>
        </w:rPr>
        <w:t>LSCL-F-4</w:t>
      </w:r>
      <w:r w:rsidRPr="00356A0C">
        <w:rPr>
          <w:rStyle w:val="Hyperlink"/>
          <w:rFonts w:eastAsia="Calibri" w:cstheme="minorHAnsi"/>
          <w:sz w:val="24"/>
          <w:szCs w:val="24"/>
        </w:rPr>
        <w:fldChar w:fldCharType="end"/>
      </w:r>
      <w:commentRangeEnd w:id="42"/>
      <w:r w:rsidRPr="00356A0C">
        <w:rPr>
          <w:rStyle w:val="CommentReference"/>
          <w:rFonts w:ascii="Palatino Linotype" w:hAnsi="Palatino Linotype"/>
        </w:rPr>
        <w:commentReference w:id="42"/>
      </w:r>
      <w:r w:rsidRPr="00356A0C">
        <w:rPr>
          <w:rFonts w:eastAsia="Calibri" w:cstheme="minorHAnsi"/>
          <w:iCs/>
          <w:sz w:val="24"/>
          <w:szCs w:val="24"/>
        </w:rPr>
        <w:t>:</w:t>
      </w:r>
      <w:r w:rsidRPr="0041791D">
        <w:rPr>
          <w:rFonts w:eastAsia="Calibri" w:cstheme="minorHAnsi"/>
          <w:iCs/>
          <w:sz w:val="24"/>
          <w:szCs w:val="24"/>
        </w:rPr>
        <w:t xml:space="preserve"> The 2021 Site Development Plan </w:t>
      </w:r>
      <w:r w:rsidRPr="000175A4">
        <w:rPr>
          <w:rFonts w:eastAsia="Calibri" w:cstheme="minorHAnsi"/>
          <w:iCs/>
          <w:sz w:val="24"/>
          <w:szCs w:val="24"/>
        </w:rPr>
        <w:t xml:space="preserve">is a registered engineer of record stamped and dated plan set which includes but not limited to </w:t>
      </w:r>
      <w:proofErr w:type="gramStart"/>
      <w:r w:rsidRPr="000175A4">
        <w:rPr>
          <w:rFonts w:eastAsia="Calibri" w:cstheme="minorHAnsi"/>
          <w:iCs/>
          <w:sz w:val="24"/>
          <w:szCs w:val="24"/>
        </w:rPr>
        <w:t xml:space="preserve">a  </w:t>
      </w:r>
      <w:commentRangeStart w:id="43"/>
      <w:r>
        <w:rPr>
          <w:rFonts w:eastAsia="Calibri" w:cstheme="minorHAnsi"/>
          <w:iCs/>
          <w:sz w:val="24"/>
          <w:szCs w:val="24"/>
        </w:rPr>
        <w:t>projected</w:t>
      </w:r>
      <w:proofErr w:type="gramEnd"/>
      <w:r>
        <w:rPr>
          <w:rFonts w:eastAsia="Calibri" w:cstheme="minorHAnsi"/>
          <w:iCs/>
          <w:sz w:val="24"/>
          <w:szCs w:val="24"/>
        </w:rPr>
        <w:t xml:space="preserve"> </w:t>
      </w:r>
      <w:commentRangeEnd w:id="43"/>
      <w:r>
        <w:rPr>
          <w:rStyle w:val="CommentReference"/>
          <w:rFonts w:ascii="Palatino Linotype" w:hAnsi="Palatino Linotype"/>
        </w:rPr>
        <w:commentReference w:id="43"/>
      </w:r>
      <w:r>
        <w:rPr>
          <w:rFonts w:ascii="Times New Roman" w:hAnsi="Times New Roman" w:cs="Times New Roman"/>
          <w:sz w:val="24"/>
          <w:szCs w:val="24"/>
        </w:rPr>
        <w:t xml:space="preserve"> </w:t>
      </w:r>
      <w:r w:rsidRPr="0041791D">
        <w:rPr>
          <w:rFonts w:eastAsia="Calibri" w:cstheme="minorHAnsi"/>
          <w:iCs/>
          <w:sz w:val="24"/>
          <w:szCs w:val="24"/>
        </w:rPr>
        <w:t>a 2039 EOL based on an annual intake of approximately 846,000 Tons/year, but this intake tonnage is not considered binding or controlling by either ODEQ or Valley Landfills, Inc. This is based on the best information available at time of approval by Oregon DEQ, which can change based upon service area impacts.</w:t>
      </w:r>
    </w:p>
    <w:p w14:paraId="179E48AC" w14:textId="77777777" w:rsidR="006F646F" w:rsidRPr="0041791D" w:rsidRDefault="006F646F" w:rsidP="006F646F">
      <w:pPr>
        <w:spacing w:after="240" w:line="240" w:lineRule="auto"/>
        <w:contextualSpacing/>
        <w:rPr>
          <w:rFonts w:eastAsia="Calibri" w:cstheme="minorHAnsi"/>
          <w:iCs/>
          <w:sz w:val="24"/>
          <w:szCs w:val="24"/>
        </w:rPr>
      </w:pPr>
    </w:p>
    <w:p w14:paraId="2E56AC3A" w14:textId="32430E89" w:rsidR="006F646F" w:rsidRPr="00116C4D" w:rsidRDefault="00415FF3" w:rsidP="006F646F">
      <w:pPr>
        <w:spacing w:after="0" w:line="240" w:lineRule="auto"/>
        <w:rPr>
          <w:rFonts w:ascii="Times New Roman" w:hAnsi="Times New Roman" w:cs="Times New Roman"/>
          <w:sz w:val="24"/>
          <w:szCs w:val="24"/>
        </w:rPr>
      </w:pPr>
      <w:hyperlink w:anchor="_Coffin_Butte_Landfill:" w:history="1">
        <w:r w:rsidR="006F646F" w:rsidRPr="0041791D">
          <w:rPr>
            <w:rStyle w:val="Hyperlink"/>
            <w:rFonts w:eastAsia="Calibri" w:cstheme="minorHAnsi"/>
            <w:sz w:val="24"/>
            <w:szCs w:val="24"/>
          </w:rPr>
          <w:t>LSCL-F-5</w:t>
        </w:r>
      </w:hyperlink>
      <w:r w:rsidR="006F646F" w:rsidRPr="0041791D">
        <w:rPr>
          <w:rFonts w:eastAsia="Calibri" w:cstheme="minorHAnsi"/>
          <w:iCs/>
          <w:sz w:val="24"/>
          <w:szCs w:val="24"/>
        </w:rPr>
        <w:t xml:space="preserve">: </w:t>
      </w:r>
      <w:r w:rsidR="006F646F" w:rsidRPr="00382DAD">
        <w:rPr>
          <w:rFonts w:ascii="Calibri" w:eastAsia="Calibri" w:hAnsi="Calibri" w:cs="Calibri"/>
          <w:sz w:val="24"/>
          <w:szCs w:val="24"/>
        </w:rPr>
        <w:t xml:space="preserve">Under the 2020 Franchise Agreement, the 1.1M tonnage cap is eliminated upon Benton County's approval of a CUP (expansion). If intake volumes increase, an </w:t>
      </w:r>
      <w:commentRangeStart w:id="44"/>
      <w:r w:rsidR="006F646F">
        <w:rPr>
          <w:rFonts w:ascii="Calibri" w:eastAsia="Calibri" w:hAnsi="Calibri" w:cs="Calibri"/>
          <w:b/>
          <w:sz w:val="24"/>
          <w:szCs w:val="24"/>
        </w:rPr>
        <w:t>expansion would not necessarily guarantee an increase in site life</w:t>
      </w:r>
      <w:commentRangeEnd w:id="44"/>
      <w:r w:rsidR="006F646F">
        <w:rPr>
          <w:rStyle w:val="CommentReference"/>
          <w:rFonts w:ascii="Palatino Linotype" w:hAnsi="Palatino Linotype"/>
        </w:rPr>
        <w:commentReference w:id="44"/>
      </w:r>
      <w:r w:rsidR="006F646F">
        <w:rPr>
          <w:rFonts w:ascii="Calibri" w:eastAsia="Calibri" w:hAnsi="Calibri" w:cs="Calibri"/>
          <w:sz w:val="24"/>
          <w:szCs w:val="24"/>
        </w:rPr>
        <w:t xml:space="preserve"> </w:t>
      </w:r>
      <w:r w:rsidR="006F646F" w:rsidRPr="00382DAD">
        <w:rPr>
          <w:rFonts w:ascii="Calibri" w:eastAsia="Calibri" w:hAnsi="Calibri" w:cs="Calibri"/>
          <w:sz w:val="24"/>
          <w:szCs w:val="24"/>
        </w:rPr>
        <w:t>or the extension of the Landfill's closure date. For example, if an expansion increases available airspace but intake volumes increase the fill rate even more, the overall life of the landfill could decrease.</w:t>
      </w:r>
      <w:r w:rsidR="006F646F">
        <w:rPr>
          <w:rFonts w:ascii="Calibri" w:eastAsia="Calibri" w:hAnsi="Calibri" w:cs="Calibri"/>
          <w:sz w:val="24"/>
          <w:szCs w:val="24"/>
        </w:rPr>
        <w:t xml:space="preserve"> </w:t>
      </w:r>
      <w:r w:rsidR="006F646F" w:rsidRPr="00DD267F">
        <w:rPr>
          <w:rFonts w:ascii="Calibri" w:eastAsia="Calibri" w:hAnsi="Calibri" w:cs="Calibri"/>
          <w:sz w:val="24"/>
          <w:szCs w:val="24"/>
        </w:rPr>
        <w:t>Republic Services said it was unlikely such a scenario would occur, due to operational limitations at the Landfill and in the Service Area</w:t>
      </w:r>
      <w:r w:rsidR="006F646F">
        <w:rPr>
          <w:rFonts w:ascii="Calibri" w:eastAsia="Calibri" w:hAnsi="Calibri" w:cs="Calibri"/>
          <w:sz w:val="24"/>
          <w:szCs w:val="24"/>
        </w:rPr>
        <w:t xml:space="preserve"> </w:t>
      </w:r>
      <w:r w:rsidR="006F646F" w:rsidRPr="00415FF3">
        <w:rPr>
          <w:rFonts w:ascii="Calibri" w:eastAsia="Calibri" w:hAnsi="Calibri" w:cs="Calibri"/>
          <w:sz w:val="24"/>
          <w:szCs w:val="24"/>
        </w:rPr>
        <w:t xml:space="preserve">[could not reach </w:t>
      </w:r>
      <w:commentRangeStart w:id="45"/>
      <w:r w:rsidR="006F646F" w:rsidRPr="00415FF3">
        <w:rPr>
          <w:rFonts w:ascii="Calibri" w:eastAsia="Calibri" w:hAnsi="Calibri" w:cs="Calibri"/>
          <w:sz w:val="24"/>
          <w:szCs w:val="24"/>
        </w:rPr>
        <w:t>consensus</w:t>
      </w:r>
      <w:commentRangeEnd w:id="45"/>
      <w:r w:rsidR="006F646F" w:rsidRPr="00415FF3">
        <w:rPr>
          <w:rStyle w:val="CommentReference"/>
          <w:rFonts w:ascii="Palatino Linotype" w:hAnsi="Palatino Linotype"/>
        </w:rPr>
        <w:commentReference w:id="45"/>
      </w:r>
      <w:r w:rsidR="006F646F">
        <w:rPr>
          <w:rFonts w:ascii="Calibri" w:eastAsia="Calibri" w:hAnsi="Calibri" w:cs="Calibri"/>
          <w:sz w:val="24"/>
          <w:szCs w:val="24"/>
        </w:rPr>
        <w:t>]</w:t>
      </w:r>
      <w:r w:rsidR="006F646F" w:rsidRPr="00DD267F">
        <w:rPr>
          <w:rFonts w:ascii="Calibri" w:eastAsia="Calibri" w:hAnsi="Calibri" w:cs="Calibri"/>
          <w:sz w:val="24"/>
          <w:szCs w:val="24"/>
        </w:rPr>
        <w:t>.</w:t>
      </w:r>
    </w:p>
    <w:p w14:paraId="4E19FA52" w14:textId="77777777" w:rsidR="006F646F" w:rsidRDefault="006F646F" w:rsidP="006F646F">
      <w:pPr>
        <w:spacing w:after="240" w:line="240" w:lineRule="auto"/>
        <w:contextualSpacing/>
        <w:rPr>
          <w:rFonts w:ascii="Calibri" w:eastAsia="Calibri" w:hAnsi="Calibri" w:cs="Calibri"/>
          <w:sz w:val="24"/>
          <w:szCs w:val="24"/>
        </w:rPr>
      </w:pPr>
    </w:p>
    <w:p w14:paraId="55A5000B" w14:textId="77777777" w:rsidR="006F646F" w:rsidRPr="008E51D0" w:rsidRDefault="006F646F" w:rsidP="006F646F">
      <w:pPr>
        <w:spacing w:after="240" w:line="240" w:lineRule="auto"/>
        <w:contextualSpacing/>
        <w:rPr>
          <w:rFonts w:eastAsia="Calibri" w:cstheme="minorHAnsi"/>
          <w:iCs/>
          <w:sz w:val="24"/>
          <w:szCs w:val="24"/>
        </w:rPr>
      </w:pPr>
      <w:r w:rsidRPr="008E51D0">
        <w:rPr>
          <w:rFonts w:eastAsia="Calibri" w:cstheme="minorHAnsi"/>
          <w:iCs/>
          <w:sz w:val="24"/>
          <w:szCs w:val="24"/>
        </w:rPr>
        <w:t xml:space="preserve">Nonetheless, transitioning from the current lineal landfill economy to a circular economy landfill can potentially extend the life of a landfill. This is because a circular economy landfill is designed to minimize the amount of waste sent to the landfill and extract value from the materials that are discarded. By recovering valuable materials through recycling, composting, and other forms of recovery, a circular economy landfill reduces the volume of waste that needs to be disposed of in the landfill. This, in turn, reduces the rate at which the landfill is filled up, which can extend its lifespan with or </w:t>
      </w:r>
      <w:proofErr w:type="gramStart"/>
      <w:r w:rsidRPr="008E51D0">
        <w:rPr>
          <w:rFonts w:eastAsia="Calibri" w:cstheme="minorHAnsi"/>
          <w:iCs/>
          <w:sz w:val="24"/>
          <w:szCs w:val="24"/>
        </w:rPr>
        <w:t>without  tonnage</w:t>
      </w:r>
      <w:proofErr w:type="gramEnd"/>
      <w:r w:rsidRPr="008E51D0">
        <w:rPr>
          <w:rFonts w:eastAsia="Calibri" w:cstheme="minorHAnsi"/>
          <w:iCs/>
          <w:sz w:val="24"/>
          <w:szCs w:val="24"/>
        </w:rPr>
        <w:t xml:space="preserve"> cap limitation. </w:t>
      </w:r>
    </w:p>
    <w:p w14:paraId="35FF812F" w14:textId="77777777" w:rsidR="006F646F" w:rsidRPr="008E51D0" w:rsidRDefault="006F646F" w:rsidP="006F646F">
      <w:pPr>
        <w:spacing w:after="240" w:line="240" w:lineRule="auto"/>
        <w:contextualSpacing/>
        <w:rPr>
          <w:rFonts w:eastAsia="Calibri" w:cstheme="minorHAnsi"/>
          <w:iCs/>
          <w:sz w:val="24"/>
          <w:szCs w:val="24"/>
        </w:rPr>
      </w:pPr>
    </w:p>
    <w:p w14:paraId="260BC417" w14:textId="77777777" w:rsidR="006F646F" w:rsidRPr="0041791D" w:rsidRDefault="006F646F" w:rsidP="006F646F">
      <w:pPr>
        <w:spacing w:after="240" w:line="240" w:lineRule="auto"/>
        <w:contextualSpacing/>
        <w:rPr>
          <w:rFonts w:eastAsia="Calibri" w:cstheme="minorHAnsi"/>
          <w:iCs/>
          <w:sz w:val="24"/>
          <w:szCs w:val="24"/>
        </w:rPr>
      </w:pPr>
      <w:r w:rsidRPr="008E51D0">
        <w:rPr>
          <w:rFonts w:eastAsia="Calibri" w:cstheme="minorHAnsi"/>
          <w:iCs/>
          <w:sz w:val="24"/>
          <w:szCs w:val="24"/>
        </w:rPr>
        <w:t xml:space="preserve">Notwithstanding, a landfill tonnage cap is a regulatory limit on the amount of waste that can be disposed of in a landfill over a certain </w:t>
      </w:r>
      <w:proofErr w:type="gramStart"/>
      <w:r w:rsidRPr="008E51D0">
        <w:rPr>
          <w:rFonts w:eastAsia="Calibri" w:cstheme="minorHAnsi"/>
          <w:iCs/>
          <w:sz w:val="24"/>
          <w:szCs w:val="24"/>
        </w:rPr>
        <w:t>period of time</w:t>
      </w:r>
      <w:proofErr w:type="gramEnd"/>
      <w:r w:rsidRPr="008E51D0">
        <w:rPr>
          <w:rFonts w:eastAsia="Calibri" w:cstheme="minorHAnsi"/>
          <w:iCs/>
          <w:sz w:val="24"/>
          <w:szCs w:val="24"/>
        </w:rPr>
        <w:t>. The tonnage cap is typically set by the local or state government and is intended to prevent the landfill from becoming overfilled and causing environmental or problems such as contamination of groundwater, soil, air, or demand and supply equilibrium problems, while transiting to a circular economy.</w:t>
      </w:r>
    </w:p>
    <w:p w14:paraId="2C6E5BEE" w14:textId="77777777" w:rsidR="006F646F" w:rsidRPr="0041791D" w:rsidRDefault="006F646F" w:rsidP="006F646F">
      <w:pPr>
        <w:contextualSpacing/>
        <w:rPr>
          <w:rFonts w:eastAsia="Calibri" w:cstheme="minorHAnsi"/>
          <w:sz w:val="24"/>
          <w:szCs w:val="24"/>
        </w:rPr>
      </w:pPr>
    </w:p>
    <w:p w14:paraId="20C98E6F" w14:textId="14830245" w:rsidR="006F646F" w:rsidRPr="0041791D" w:rsidRDefault="00415FF3" w:rsidP="006F646F">
      <w:pPr>
        <w:contextualSpacing/>
        <w:rPr>
          <w:rFonts w:eastAsia="Calibri" w:cstheme="minorHAnsi"/>
          <w:sz w:val="24"/>
          <w:szCs w:val="24"/>
        </w:rPr>
      </w:pPr>
      <w:hyperlink w:anchor="_Appendix_A_" w:history="1">
        <w:r w:rsidR="006F646F" w:rsidRPr="0041791D">
          <w:rPr>
            <w:rStyle w:val="Hyperlink"/>
            <w:rFonts w:eastAsia="Calibri" w:cstheme="minorHAnsi"/>
            <w:sz w:val="24"/>
            <w:szCs w:val="24"/>
          </w:rPr>
          <w:t>LSCL-F-6</w:t>
        </w:r>
      </w:hyperlink>
      <w:r w:rsidR="006F646F" w:rsidRPr="0041791D">
        <w:rPr>
          <w:rFonts w:eastAsia="Calibri" w:cstheme="minorHAnsi"/>
          <w:sz w:val="24"/>
          <w:szCs w:val="24"/>
        </w:rPr>
        <w:t xml:space="preserve">: </w:t>
      </w:r>
      <w:r w:rsidR="006F646F" w:rsidRPr="00382DAD">
        <w:rPr>
          <w:rFonts w:ascii="Calibri" w:eastAsia="Calibri" w:hAnsi="Calibri" w:cs="Calibri"/>
          <w:sz w:val="24"/>
          <w:szCs w:val="24"/>
        </w:rPr>
        <w:t xml:space="preserve">For purposes of this discussion, the subcommittee agreed to rely on data from the annual reports and other landfill filings with the county. EPA also provides data in </w:t>
      </w:r>
      <w:r w:rsidR="006F646F" w:rsidRPr="00274B40">
        <w:rPr>
          <w:rFonts w:ascii="Calibri" w:eastAsia="Calibri" w:hAnsi="Calibri" w:cs="Calibri"/>
          <w:sz w:val="24"/>
          <w:szCs w:val="24"/>
        </w:rPr>
        <w:t xml:space="preserve">in its greenhouse gas reporting </w:t>
      </w:r>
      <w:proofErr w:type="gramStart"/>
      <w:r w:rsidR="006F646F" w:rsidRPr="00274B40">
        <w:rPr>
          <w:rFonts w:ascii="Calibri" w:eastAsia="Calibri" w:hAnsi="Calibri" w:cs="Calibri"/>
          <w:sz w:val="24"/>
          <w:szCs w:val="24"/>
        </w:rPr>
        <w:t xml:space="preserve">webpage </w:t>
      </w:r>
      <w:r w:rsidR="006F646F" w:rsidRPr="00382DAD">
        <w:rPr>
          <w:rFonts w:ascii="Calibri" w:eastAsia="Calibri" w:hAnsi="Calibri" w:cs="Calibri"/>
          <w:sz w:val="24"/>
          <w:szCs w:val="24"/>
        </w:rPr>
        <w:t xml:space="preserve"> that</w:t>
      </w:r>
      <w:proofErr w:type="gramEnd"/>
      <w:r w:rsidR="006F646F" w:rsidRPr="00382DAD">
        <w:rPr>
          <w:rFonts w:ascii="Calibri" w:eastAsia="Calibri" w:hAnsi="Calibri" w:cs="Calibri"/>
          <w:sz w:val="24"/>
          <w:szCs w:val="24"/>
        </w:rPr>
        <w:t xml:space="preserve"> uses different data from another source.</w:t>
      </w:r>
    </w:p>
    <w:p w14:paraId="6F69EB0C" w14:textId="77777777" w:rsidR="006F646F" w:rsidRPr="0041791D" w:rsidRDefault="006F646F" w:rsidP="006F646F">
      <w:pPr>
        <w:contextualSpacing/>
        <w:rPr>
          <w:rFonts w:eastAsia="Calibri" w:cstheme="minorHAnsi"/>
          <w:strike/>
          <w:sz w:val="24"/>
          <w:szCs w:val="24"/>
        </w:rPr>
      </w:pPr>
    </w:p>
    <w:p w14:paraId="4D6B2A70" w14:textId="77777777" w:rsidR="006F646F" w:rsidRPr="0041791D" w:rsidRDefault="00415FF3" w:rsidP="006F646F">
      <w:pPr>
        <w:spacing w:after="240" w:line="240" w:lineRule="auto"/>
        <w:contextualSpacing/>
        <w:rPr>
          <w:rFonts w:eastAsia="Calibri" w:cstheme="minorHAnsi"/>
          <w:iCs/>
          <w:sz w:val="24"/>
          <w:szCs w:val="24"/>
        </w:rPr>
      </w:pPr>
      <w:hyperlink w:anchor="_Events_and_Factors" w:history="1">
        <w:r w:rsidR="006F646F" w:rsidRPr="0041791D">
          <w:rPr>
            <w:rStyle w:val="Hyperlink"/>
            <w:rFonts w:eastAsia="Calibri" w:cstheme="minorHAnsi"/>
            <w:sz w:val="24"/>
            <w:szCs w:val="24"/>
          </w:rPr>
          <w:t>LSCL-F-7</w:t>
        </w:r>
      </w:hyperlink>
      <w:r w:rsidR="006F646F" w:rsidRPr="0041791D">
        <w:rPr>
          <w:rFonts w:eastAsia="Calibri" w:cstheme="minorHAnsi"/>
          <w:iCs/>
          <w:sz w:val="24"/>
          <w:szCs w:val="24"/>
        </w:rPr>
        <w:t>: F</w:t>
      </w:r>
      <w:commentRangeStart w:id="46"/>
      <w:r w:rsidR="006F646F" w:rsidRPr="0041791D">
        <w:rPr>
          <w:rFonts w:eastAsia="Calibri" w:cstheme="minorHAnsi"/>
          <w:iCs/>
          <w:sz w:val="24"/>
          <w:szCs w:val="24"/>
        </w:rPr>
        <w:t xml:space="preserve">actors </w:t>
      </w:r>
      <w:commentRangeEnd w:id="46"/>
      <w:r w:rsidR="006F646F" w:rsidRPr="0041791D">
        <w:rPr>
          <w:rFonts w:eastAsia="Calibri" w:cstheme="minorHAnsi"/>
          <w:sz w:val="24"/>
          <w:szCs w:val="24"/>
        </w:rPr>
        <w:commentReference w:id="46"/>
      </w:r>
      <w:r w:rsidR="006F646F" w:rsidRPr="0041791D">
        <w:rPr>
          <w:rFonts w:eastAsia="Calibri" w:cstheme="minorHAnsi"/>
          <w:iCs/>
          <w:sz w:val="24"/>
          <w:szCs w:val="24"/>
        </w:rPr>
        <w:t>such as population growth and debris from disasters may drive up intake rates and thus shorten landfill life; factors such as recycling and waste diversion, plus emerging factors such as extended producer responsibility (EPR) incentives and climate crisis legislation, may drive down intake rates and thus lengthen landfill life.</w:t>
      </w:r>
      <w:commentRangeStart w:id="47"/>
      <w:commentRangeEnd w:id="47"/>
      <w:r w:rsidR="006F646F" w:rsidRPr="0041791D">
        <w:rPr>
          <w:rStyle w:val="CommentReference"/>
          <w:rFonts w:cstheme="minorHAnsi"/>
          <w:sz w:val="24"/>
          <w:szCs w:val="24"/>
        </w:rPr>
        <w:commentReference w:id="47"/>
      </w:r>
    </w:p>
    <w:p w14:paraId="2347E6ED" w14:textId="77777777" w:rsidR="006F646F" w:rsidRPr="0041791D" w:rsidRDefault="006F646F" w:rsidP="006F646F">
      <w:pPr>
        <w:spacing w:after="240" w:line="240" w:lineRule="auto"/>
        <w:contextualSpacing/>
        <w:rPr>
          <w:rFonts w:eastAsia="Calibri" w:cstheme="minorHAnsi"/>
          <w:iCs/>
          <w:sz w:val="24"/>
          <w:szCs w:val="24"/>
        </w:rPr>
      </w:pPr>
    </w:p>
    <w:p w14:paraId="1872DC94" w14:textId="28742BF1" w:rsidR="006F646F" w:rsidRPr="0041791D" w:rsidRDefault="00356A0C" w:rsidP="006F646F">
      <w:pPr>
        <w:spacing w:after="240" w:line="240" w:lineRule="auto"/>
        <w:contextualSpacing/>
        <w:rPr>
          <w:rFonts w:eastAsia="Calibri" w:cstheme="minorHAnsi"/>
          <w:iCs/>
          <w:sz w:val="24"/>
          <w:szCs w:val="24"/>
        </w:rPr>
      </w:pPr>
      <w:hyperlink w:anchor="_Events_and_Factors" w:history="1">
        <w:r w:rsidRPr="0041791D">
          <w:rPr>
            <w:rStyle w:val="Hyperlink"/>
            <w:rFonts w:eastAsia="Calibri" w:cstheme="minorHAnsi"/>
            <w:sz w:val="24"/>
            <w:szCs w:val="24"/>
          </w:rPr>
          <w:t>LSCL-F-</w:t>
        </w:r>
        <w:r>
          <w:rPr>
            <w:rStyle w:val="Hyperlink"/>
            <w:rFonts w:eastAsia="Calibri" w:cstheme="minorHAnsi"/>
            <w:sz w:val="24"/>
            <w:szCs w:val="24"/>
          </w:rPr>
          <w:t>8</w:t>
        </w:r>
      </w:hyperlink>
      <w:commentRangeStart w:id="48"/>
      <w:r w:rsidR="006F646F" w:rsidRPr="00356A0C">
        <w:rPr>
          <w:rFonts w:eastAsia="Calibri" w:cstheme="minorHAnsi"/>
          <w:iCs/>
          <w:sz w:val="24"/>
          <w:szCs w:val="24"/>
        </w:rPr>
        <w:t xml:space="preserve">:  </w:t>
      </w:r>
      <w:commentRangeEnd w:id="48"/>
      <w:r w:rsidR="006F646F" w:rsidRPr="00356A0C">
        <w:rPr>
          <w:rStyle w:val="CommentReference"/>
          <w:rFonts w:cstheme="minorHAnsi"/>
          <w:sz w:val="24"/>
          <w:szCs w:val="24"/>
        </w:rPr>
        <w:commentReference w:id="48"/>
      </w:r>
      <w:r w:rsidR="006F646F" w:rsidRPr="0041791D">
        <w:rPr>
          <w:rFonts w:eastAsia="Calibri" w:cstheme="minorHAnsi"/>
          <w:iCs/>
          <w:sz w:val="24"/>
          <w:szCs w:val="24"/>
        </w:rPr>
        <w:t xml:space="preserve">Landfill Life (longevity) is </w:t>
      </w:r>
      <w:proofErr w:type="gramStart"/>
      <w:r w:rsidR="006F646F" w:rsidRPr="0041791D">
        <w:rPr>
          <w:rFonts w:eastAsia="Calibri" w:cstheme="minorHAnsi"/>
          <w:iCs/>
          <w:sz w:val="24"/>
          <w:szCs w:val="24"/>
        </w:rPr>
        <w:t>the  availability</w:t>
      </w:r>
      <w:proofErr w:type="gramEnd"/>
      <w:r w:rsidR="006F646F" w:rsidRPr="0041791D">
        <w:rPr>
          <w:rFonts w:eastAsia="Calibri" w:cstheme="minorHAnsi"/>
          <w:iCs/>
          <w:sz w:val="24"/>
          <w:szCs w:val="24"/>
        </w:rPr>
        <w:t xml:space="preserve"> of the landfill reserve resources and landfill ancillary resources that currently operates the landfill’s demand, supply and equilibrium of refuse disposal in a linear  economy model. </w:t>
      </w:r>
    </w:p>
    <w:p w14:paraId="0984E260" w14:textId="77777777" w:rsidR="006F646F" w:rsidRPr="0041791D" w:rsidRDefault="006F646F" w:rsidP="006F646F">
      <w:pPr>
        <w:spacing w:after="240" w:line="240" w:lineRule="auto"/>
        <w:contextualSpacing/>
        <w:rPr>
          <w:rFonts w:eastAsia="Calibri" w:cstheme="minorHAnsi"/>
          <w:iCs/>
          <w:sz w:val="24"/>
          <w:szCs w:val="24"/>
        </w:rPr>
      </w:pPr>
    </w:p>
    <w:p w14:paraId="2B731DB9" w14:textId="71247E7B" w:rsidR="006F646F" w:rsidRPr="00A03A33" w:rsidRDefault="00356A0C" w:rsidP="006F646F">
      <w:pPr>
        <w:spacing w:after="240" w:line="240" w:lineRule="auto"/>
        <w:rPr>
          <w:rFonts w:eastAsia="Calibri" w:cstheme="minorHAnsi"/>
          <w:iCs/>
          <w:sz w:val="24"/>
          <w:szCs w:val="24"/>
        </w:rPr>
      </w:pPr>
      <w:hyperlink w:anchor="_Events_and_Factors" w:history="1">
        <w:r w:rsidRPr="0041791D">
          <w:rPr>
            <w:rStyle w:val="Hyperlink"/>
            <w:rFonts w:eastAsia="Calibri" w:cstheme="minorHAnsi"/>
            <w:sz w:val="24"/>
            <w:szCs w:val="24"/>
          </w:rPr>
          <w:t>LSCL-F-</w:t>
        </w:r>
        <w:r>
          <w:rPr>
            <w:rStyle w:val="Hyperlink"/>
            <w:rFonts w:eastAsia="Calibri" w:cstheme="minorHAnsi"/>
            <w:sz w:val="24"/>
            <w:szCs w:val="24"/>
          </w:rPr>
          <w:t>9</w:t>
        </w:r>
      </w:hyperlink>
      <w:r w:rsidR="006F646F" w:rsidRPr="00A03A33">
        <w:rPr>
          <w:rFonts w:eastAsia="Calibri" w:cstheme="minorHAnsi"/>
          <w:iCs/>
          <w:sz w:val="24"/>
          <w:szCs w:val="24"/>
        </w:rPr>
        <w:t xml:space="preserve">: The subcommittee identified these factors that could impact usable landfill airspace: Landfill expansion(s) and associated removal of tonnage cap; the quarry excavation schedule; water table concerns; disasters that happen to the landfill itself. </w:t>
      </w:r>
    </w:p>
    <w:p w14:paraId="7A4806FD" w14:textId="1B07B41D" w:rsidR="006F646F" w:rsidRPr="00A03A33" w:rsidRDefault="00356A0C" w:rsidP="006F646F">
      <w:pPr>
        <w:spacing w:after="240" w:line="240" w:lineRule="auto"/>
        <w:rPr>
          <w:rFonts w:eastAsia="Calibri" w:cstheme="minorHAnsi"/>
          <w:iCs/>
          <w:sz w:val="24"/>
          <w:szCs w:val="24"/>
        </w:rPr>
      </w:pPr>
      <w:hyperlink w:anchor="_Events_and_Factors" w:history="1">
        <w:r w:rsidRPr="0041791D">
          <w:rPr>
            <w:rStyle w:val="Hyperlink"/>
            <w:rFonts w:eastAsia="Calibri" w:cstheme="minorHAnsi"/>
            <w:sz w:val="24"/>
            <w:szCs w:val="24"/>
          </w:rPr>
          <w:t>LSCL-F-</w:t>
        </w:r>
        <w:r>
          <w:rPr>
            <w:rStyle w:val="Hyperlink"/>
            <w:rFonts w:eastAsia="Calibri" w:cstheme="minorHAnsi"/>
            <w:sz w:val="24"/>
            <w:szCs w:val="24"/>
          </w:rPr>
          <w:t>10</w:t>
        </w:r>
      </w:hyperlink>
      <w:commentRangeStart w:id="49"/>
      <w:r w:rsidR="006F646F" w:rsidRPr="00A03A33">
        <w:rPr>
          <w:rFonts w:eastAsia="Calibri" w:cstheme="minorHAnsi"/>
          <w:iCs/>
          <w:sz w:val="24"/>
          <w:szCs w:val="24"/>
        </w:rPr>
        <w:t xml:space="preserve">: </w:t>
      </w:r>
      <w:commentRangeEnd w:id="49"/>
      <w:r w:rsidR="006F646F">
        <w:rPr>
          <w:rStyle w:val="CommentReference"/>
          <w:rFonts w:ascii="Palatino Linotype" w:hAnsi="Palatino Linotype"/>
        </w:rPr>
        <w:commentReference w:id="49"/>
      </w:r>
      <w:r w:rsidR="006F646F" w:rsidRPr="00A03A33">
        <w:rPr>
          <w:rFonts w:eastAsia="Calibri" w:cstheme="minorHAnsi"/>
          <w:iCs/>
          <w:sz w:val="24"/>
          <w:szCs w:val="24"/>
        </w:rPr>
        <w:t xml:space="preserve">The subcommittee identified many factors that could impact the landfill’s annual </w:t>
      </w:r>
      <w:proofErr w:type="gramStart"/>
      <w:r w:rsidR="006F646F" w:rsidRPr="00A03A33">
        <w:rPr>
          <w:rFonts w:eastAsia="Calibri" w:cstheme="minorHAnsi"/>
          <w:iCs/>
          <w:sz w:val="24"/>
          <w:szCs w:val="24"/>
        </w:rPr>
        <w:t>tonnage;</w:t>
      </w:r>
      <w:proofErr w:type="gramEnd"/>
      <w:r w:rsidR="006F646F" w:rsidRPr="00A03A33">
        <w:rPr>
          <w:rFonts w:eastAsia="Calibri" w:cstheme="minorHAnsi"/>
          <w:iCs/>
          <w:sz w:val="24"/>
          <w:szCs w:val="24"/>
        </w:rPr>
        <w:t xml:space="preserve"> i.e., the rate at which its usable volume fills up. These included: exceedance of the tonnage cap; recession(s); economic growth; structural and societal reductions in waste generation; disposal alternatives; transportation alternatives; global health issues such as pandemics; climate change and other environmental legislation concerning methane and other greenhouse gases; climate change and other environmental legislation concerning the reduction of waste and pollution in landfilled material; state and local legislation upgrading waste diversion efforts; environmental activism, especially about the climate crisis; wildfires and other disasters that generate debris for landfilling; service area changes; changes in population in the service area. </w:t>
      </w:r>
    </w:p>
    <w:p w14:paraId="288414A2" w14:textId="3FB4E2F1" w:rsidR="00D04385" w:rsidRPr="00A03A33" w:rsidRDefault="00356A0C" w:rsidP="006F646F">
      <w:pPr>
        <w:spacing w:after="240" w:line="240" w:lineRule="auto"/>
        <w:rPr>
          <w:rFonts w:eastAsia="Calibri" w:cstheme="minorHAnsi"/>
          <w:iCs/>
          <w:sz w:val="24"/>
          <w:szCs w:val="24"/>
        </w:rPr>
      </w:pPr>
      <w:hyperlink w:anchor="_Events_and_Factors" w:history="1">
        <w:r w:rsidRPr="0041791D">
          <w:rPr>
            <w:rStyle w:val="Hyperlink"/>
            <w:rFonts w:eastAsia="Calibri" w:cstheme="minorHAnsi"/>
            <w:sz w:val="24"/>
            <w:szCs w:val="24"/>
          </w:rPr>
          <w:t>LSCL-F-</w:t>
        </w:r>
        <w:r>
          <w:rPr>
            <w:rStyle w:val="Hyperlink"/>
            <w:rFonts w:eastAsia="Calibri" w:cstheme="minorHAnsi"/>
            <w:sz w:val="24"/>
            <w:szCs w:val="24"/>
          </w:rPr>
          <w:t>11</w:t>
        </w:r>
      </w:hyperlink>
      <w:commentRangeStart w:id="50"/>
      <w:r w:rsidR="006F646F" w:rsidRPr="00A03A33">
        <w:rPr>
          <w:rFonts w:eastAsia="Calibri" w:cstheme="minorHAnsi"/>
          <w:iCs/>
          <w:sz w:val="24"/>
          <w:szCs w:val="24"/>
        </w:rPr>
        <w:t xml:space="preserve">: </w:t>
      </w:r>
      <w:commentRangeEnd w:id="50"/>
      <w:r w:rsidR="006F646F">
        <w:rPr>
          <w:rStyle w:val="CommentReference"/>
          <w:rFonts w:ascii="Palatino Linotype" w:hAnsi="Palatino Linotype"/>
        </w:rPr>
        <w:commentReference w:id="50"/>
      </w:r>
      <w:r w:rsidR="006F646F" w:rsidRPr="00A03A33">
        <w:rPr>
          <w:rFonts w:eastAsia="Calibri" w:cstheme="minorHAnsi"/>
          <w:iCs/>
          <w:sz w:val="24"/>
          <w:szCs w:val="24"/>
        </w:rPr>
        <w:t xml:space="preserve">Recognizing that the question “What factors could make the landfill close earlier than the Baseline Scenarios (by 2037–39)?” is of particular importance to this report’s readers, the subcommittee </w:t>
      </w:r>
      <w:r w:rsidR="006F646F" w:rsidRPr="00515A0A">
        <w:rPr>
          <w:rFonts w:eastAsia="Calibri" w:cstheme="minorHAnsi"/>
          <w:iCs/>
          <w:sz w:val="24"/>
          <w:szCs w:val="24"/>
        </w:rPr>
        <w:t xml:space="preserve">has prepared a table that contains background information about each factor and proposes questions for the County and the SMMP to answer. The table can be found on </w:t>
      </w:r>
      <w:proofErr w:type="spellStart"/>
      <w:r w:rsidR="006F646F" w:rsidRPr="00515A0A">
        <w:rPr>
          <w:rFonts w:eastAsia="Calibri" w:cstheme="minorHAnsi"/>
          <w:iCs/>
          <w:sz w:val="24"/>
          <w:szCs w:val="24"/>
        </w:rPr>
        <w:t>xxxxx</w:t>
      </w:r>
      <w:proofErr w:type="spellEnd"/>
      <w:r w:rsidR="006F646F" w:rsidRPr="00515A0A">
        <w:rPr>
          <w:rFonts w:eastAsia="Calibri" w:cstheme="minorHAnsi"/>
          <w:iCs/>
          <w:sz w:val="24"/>
          <w:szCs w:val="24"/>
        </w:rPr>
        <w:t xml:space="preserve">.  </w:t>
      </w:r>
      <w:r w:rsidR="00D04385" w:rsidRPr="00D04385">
        <w:rPr>
          <w:rFonts w:eastAsia="Calibri" w:cstheme="minorHAnsi"/>
          <w:iCs/>
          <w:sz w:val="24"/>
          <w:szCs w:val="24"/>
        </w:rPr>
        <w:t>LSCL-F-X: Landfills are known to be major emitters of methane, but previously these emissions have typically been estimated through mathematical modeling, because the emissions themselves were hard to measure directly. The methane emissions from Coffin Butte Landfill have not been well-characterized, so the possible effects of methane-reducing legislation on the landfill’s waste intake rates are also hard to characterize.</w:t>
      </w:r>
    </w:p>
    <w:p w14:paraId="2DEB9B9C" w14:textId="2AA720D1" w:rsidR="006F646F" w:rsidRPr="00311020" w:rsidRDefault="006F646F" w:rsidP="006F646F">
      <w:pPr>
        <w:spacing w:after="0" w:line="240" w:lineRule="auto"/>
        <w:rPr>
          <w:rFonts w:eastAsia="Calibri" w:cstheme="minorHAnsi"/>
          <w:iCs/>
          <w:strike/>
          <w:sz w:val="24"/>
          <w:szCs w:val="24"/>
        </w:rPr>
      </w:pPr>
      <w:r w:rsidRPr="00A03A33">
        <w:rPr>
          <w:rFonts w:eastAsia="Calibri" w:cstheme="minorHAnsi"/>
          <w:iCs/>
          <w:sz w:val="24"/>
          <w:szCs w:val="24"/>
        </w:rPr>
        <w:t>LSCL-F-</w:t>
      </w:r>
      <w:r w:rsidR="00356A0C">
        <w:rPr>
          <w:rFonts w:eastAsia="Calibri" w:cstheme="minorHAnsi"/>
          <w:iCs/>
          <w:sz w:val="24"/>
          <w:szCs w:val="24"/>
        </w:rPr>
        <w:t>12</w:t>
      </w:r>
      <w:r w:rsidRPr="00A03A33">
        <w:rPr>
          <w:rFonts w:eastAsia="Calibri" w:cstheme="minorHAnsi"/>
          <w:iCs/>
          <w:sz w:val="24"/>
          <w:szCs w:val="24"/>
        </w:rPr>
        <w:t xml:space="preserve">: </w:t>
      </w:r>
      <w:r w:rsidRPr="001E5B1C">
        <w:rPr>
          <w:rFonts w:eastAsia="Calibri" w:cstheme="minorHAnsi"/>
          <w:iCs/>
          <w:sz w:val="24"/>
          <w:szCs w:val="24"/>
        </w:rPr>
        <w:t xml:space="preserve">One proven </w:t>
      </w:r>
      <w:r w:rsidRPr="00A03A33">
        <w:rPr>
          <w:rFonts w:eastAsia="Calibri" w:cstheme="minorHAnsi"/>
          <w:iCs/>
          <w:sz w:val="24"/>
          <w:szCs w:val="24"/>
        </w:rPr>
        <w:t xml:space="preserve">way to </w:t>
      </w:r>
      <w:r>
        <w:rPr>
          <w:rFonts w:eastAsia="Calibri" w:cstheme="minorHAnsi"/>
          <w:iCs/>
          <w:sz w:val="24"/>
          <w:szCs w:val="24"/>
        </w:rPr>
        <w:t>reduce</w:t>
      </w:r>
      <w:r w:rsidRPr="00A03A33">
        <w:rPr>
          <w:rFonts w:eastAsia="Calibri" w:cstheme="minorHAnsi"/>
          <w:iCs/>
          <w:sz w:val="24"/>
          <w:szCs w:val="24"/>
        </w:rPr>
        <w:t xml:space="preserve"> a landfill’s greenhouse gas emissions is to divert organic material. Landfill gas collection systems </w:t>
      </w:r>
      <w:r>
        <w:rPr>
          <w:rFonts w:eastAsia="Calibri" w:cstheme="minorHAnsi"/>
          <w:iCs/>
          <w:sz w:val="24"/>
          <w:szCs w:val="24"/>
        </w:rPr>
        <w:t xml:space="preserve">are another tool to </w:t>
      </w:r>
      <w:r w:rsidRPr="00A03A33">
        <w:rPr>
          <w:rFonts w:eastAsia="Calibri" w:cstheme="minorHAnsi"/>
          <w:iCs/>
          <w:sz w:val="24"/>
          <w:szCs w:val="24"/>
        </w:rPr>
        <w:t xml:space="preserve">lessen the greenhouse gas impact but do not remediate it. </w:t>
      </w:r>
      <w:r w:rsidRPr="0007732C">
        <w:rPr>
          <w:rFonts w:eastAsia="Calibri" w:cstheme="minorHAnsi"/>
          <w:iCs/>
          <w:sz w:val="24"/>
          <w:szCs w:val="24"/>
        </w:rPr>
        <w:t xml:space="preserve">In 2019 the EPA estimated that Coffin Butte Landfill’s gas collection system operates at 57% efficiency. </w:t>
      </w:r>
      <w:commentRangeStart w:id="51"/>
      <w:commentRangeStart w:id="52"/>
      <w:commentRangeEnd w:id="51"/>
      <w:r w:rsidRPr="0007732C">
        <w:rPr>
          <w:rStyle w:val="CommentReference"/>
          <w:rFonts w:ascii="Palatino Linotype" w:hAnsi="Palatino Linotype"/>
        </w:rPr>
        <w:commentReference w:id="51"/>
      </w:r>
      <w:commentRangeEnd w:id="52"/>
      <w:r w:rsidR="00D04385" w:rsidRPr="0007732C">
        <w:rPr>
          <w:rStyle w:val="CommentReference"/>
          <w:rFonts w:ascii="Palatino Linotype" w:hAnsi="Palatino Linotype"/>
        </w:rPr>
        <w:commentReference w:id="52"/>
      </w:r>
      <w:r>
        <w:rPr>
          <w:rFonts w:ascii="Times New Roman" w:hAnsi="Times New Roman" w:cs="Times New Roman"/>
          <w:sz w:val="24"/>
          <w:szCs w:val="24"/>
        </w:rPr>
        <w:t xml:space="preserve"> </w:t>
      </w:r>
    </w:p>
    <w:p w14:paraId="42BD7162" w14:textId="77777777" w:rsidR="006F646F" w:rsidRDefault="006F646F" w:rsidP="006F646F">
      <w:pPr>
        <w:spacing w:after="0" w:line="240" w:lineRule="auto"/>
        <w:rPr>
          <w:rFonts w:ascii="Times New Roman" w:hAnsi="Times New Roman" w:cs="Times New Roman"/>
          <w:sz w:val="24"/>
          <w:szCs w:val="24"/>
        </w:rPr>
      </w:pPr>
    </w:p>
    <w:p w14:paraId="78B3A1E7" w14:textId="0FFFD2D1" w:rsidR="006F646F" w:rsidRDefault="006F646F" w:rsidP="006F646F">
      <w:pPr>
        <w:spacing w:after="240" w:line="240" w:lineRule="auto"/>
        <w:rPr>
          <w:rFonts w:eastAsia="Calibri" w:cstheme="minorHAnsi"/>
          <w:iCs/>
          <w:sz w:val="24"/>
          <w:szCs w:val="24"/>
        </w:rPr>
      </w:pPr>
      <w:r w:rsidRPr="00A03A33">
        <w:rPr>
          <w:rFonts w:eastAsia="Calibri" w:cstheme="minorHAnsi"/>
          <w:iCs/>
          <w:sz w:val="24"/>
          <w:szCs w:val="24"/>
        </w:rPr>
        <w:t>LSCL-F-</w:t>
      </w:r>
      <w:r w:rsidR="00356A0C">
        <w:rPr>
          <w:rFonts w:eastAsia="Calibri" w:cstheme="minorHAnsi"/>
          <w:iCs/>
          <w:sz w:val="24"/>
          <w:szCs w:val="24"/>
        </w:rPr>
        <w:t>13</w:t>
      </w:r>
      <w:r w:rsidRPr="00A03A33">
        <w:rPr>
          <w:rFonts w:eastAsia="Calibri" w:cstheme="minorHAnsi"/>
          <w:iCs/>
          <w:sz w:val="24"/>
          <w:szCs w:val="24"/>
        </w:rPr>
        <w:t xml:space="preserve">: The impetus to curtail methane emissions is focusing attention on ways to divert organic waste from landfill </w:t>
      </w:r>
      <w:proofErr w:type="spellStart"/>
      <w:r w:rsidRPr="00A03A33">
        <w:rPr>
          <w:rFonts w:eastAsia="Calibri" w:cstheme="minorHAnsi"/>
          <w:iCs/>
          <w:sz w:val="24"/>
          <w:szCs w:val="24"/>
        </w:rPr>
        <w:t>wastestreams</w:t>
      </w:r>
      <w:proofErr w:type="spellEnd"/>
      <w:r w:rsidRPr="00A03A33">
        <w:rPr>
          <w:rFonts w:eastAsia="Calibri" w:cstheme="minorHAnsi"/>
          <w:iCs/>
          <w:sz w:val="24"/>
          <w:szCs w:val="24"/>
        </w:rPr>
        <w:t>. The 2023 Food Donation Improvement Act, for example, enables existing food donation organizations to expand operations and incentivizes the creation of new methods and innovations in preventing food waste, both to stop wasting a valuable resource and to reduce methane emissions.</w:t>
      </w:r>
    </w:p>
    <w:p w14:paraId="1E570AF0" w14:textId="77777777" w:rsidR="006F646F" w:rsidRPr="00A03A33" w:rsidRDefault="006F646F" w:rsidP="006F646F">
      <w:pPr>
        <w:spacing w:after="240" w:line="240" w:lineRule="auto"/>
        <w:rPr>
          <w:rFonts w:eastAsia="Calibri" w:cstheme="minorHAnsi"/>
          <w:iCs/>
          <w:sz w:val="24"/>
          <w:szCs w:val="24"/>
        </w:rPr>
      </w:pPr>
    </w:p>
    <w:p w14:paraId="0C4B61F2" w14:textId="77777777" w:rsidR="006F646F" w:rsidRPr="0041791D" w:rsidRDefault="006F646F" w:rsidP="006F646F">
      <w:pPr>
        <w:spacing w:after="240" w:line="240" w:lineRule="auto"/>
        <w:rPr>
          <w:rFonts w:eastAsia="Calibri" w:cstheme="minorHAnsi"/>
          <w:b/>
          <w:sz w:val="24"/>
          <w:szCs w:val="24"/>
          <w:u w:val="single"/>
        </w:rPr>
      </w:pPr>
      <w:r w:rsidRPr="0041791D">
        <w:rPr>
          <w:rFonts w:eastAsia="Calibri" w:cstheme="minorHAnsi"/>
          <w:b/>
          <w:sz w:val="24"/>
          <w:szCs w:val="24"/>
          <w:u w:val="single"/>
        </w:rPr>
        <w:t>Landfill Size: Capacity</w:t>
      </w:r>
    </w:p>
    <w:p w14:paraId="42F942B4" w14:textId="085ADC02" w:rsidR="006F646F" w:rsidRPr="0041791D" w:rsidRDefault="00415FF3" w:rsidP="006F646F">
      <w:pPr>
        <w:spacing w:after="240" w:line="240" w:lineRule="auto"/>
        <w:rPr>
          <w:rFonts w:eastAsia="Calibri" w:cstheme="minorHAnsi"/>
          <w:iCs/>
          <w:sz w:val="24"/>
          <w:szCs w:val="24"/>
        </w:rPr>
      </w:pPr>
      <w:hyperlink w:anchor="_Permitted_Disposal_Capacity" w:history="1">
        <w:r w:rsidR="006F646F" w:rsidRPr="0041791D">
          <w:rPr>
            <w:rStyle w:val="Hyperlink"/>
            <w:rFonts w:eastAsia="Calibri" w:cstheme="minorHAnsi"/>
            <w:sz w:val="24"/>
            <w:szCs w:val="24"/>
          </w:rPr>
          <w:t>LSCL-F-</w:t>
        </w:r>
        <w:r w:rsidR="00356A0C">
          <w:rPr>
            <w:rStyle w:val="Hyperlink"/>
            <w:rFonts w:eastAsia="Calibri" w:cstheme="minorHAnsi"/>
            <w:sz w:val="24"/>
            <w:szCs w:val="24"/>
          </w:rPr>
          <w:t>14</w:t>
        </w:r>
      </w:hyperlink>
      <w:r w:rsidR="006F646F" w:rsidRPr="0041791D">
        <w:rPr>
          <w:rFonts w:eastAsia="Calibri" w:cstheme="minorHAnsi"/>
          <w:iCs/>
          <w:sz w:val="24"/>
          <w:szCs w:val="24"/>
        </w:rPr>
        <w:t xml:space="preserve">: A significant portion of the permitted </w:t>
      </w:r>
      <w:r w:rsidR="006F646F">
        <w:rPr>
          <w:rFonts w:eastAsia="Calibri" w:cstheme="minorHAnsi"/>
          <w:iCs/>
          <w:sz w:val="24"/>
          <w:szCs w:val="24"/>
        </w:rPr>
        <w:t xml:space="preserve">airspace </w:t>
      </w:r>
      <w:r w:rsidR="006F646F" w:rsidRPr="0041791D">
        <w:rPr>
          <w:rFonts w:eastAsia="Calibri" w:cstheme="minorHAnsi"/>
          <w:iCs/>
          <w:sz w:val="24"/>
          <w:szCs w:val="24"/>
        </w:rPr>
        <w:t>in the quarry area (</w:t>
      </w:r>
      <w:r w:rsidR="006F646F">
        <w:rPr>
          <w:rFonts w:eastAsia="Calibri" w:cstheme="minorHAnsi"/>
          <w:iCs/>
          <w:sz w:val="24"/>
          <w:szCs w:val="24"/>
        </w:rPr>
        <w:t xml:space="preserve">also known as </w:t>
      </w:r>
      <w:r w:rsidR="006F646F" w:rsidRPr="0041791D">
        <w:rPr>
          <w:rFonts w:eastAsia="Calibri" w:cstheme="minorHAnsi"/>
          <w:iCs/>
          <w:sz w:val="24"/>
          <w:szCs w:val="24"/>
        </w:rPr>
        <w:t xml:space="preserve">Cell </w:t>
      </w:r>
      <w:commentRangeStart w:id="53"/>
      <w:commentRangeStart w:id="54"/>
      <w:r w:rsidR="006F646F" w:rsidRPr="0041791D">
        <w:rPr>
          <w:rFonts w:eastAsia="Calibri" w:cstheme="minorHAnsi"/>
          <w:iCs/>
          <w:sz w:val="24"/>
          <w:szCs w:val="24"/>
        </w:rPr>
        <w:t>6</w:t>
      </w:r>
      <w:commentRangeEnd w:id="53"/>
      <w:r w:rsidR="006F646F" w:rsidRPr="0041791D">
        <w:rPr>
          <w:rFonts w:eastAsia="Calibri" w:cstheme="minorHAnsi"/>
          <w:sz w:val="24"/>
          <w:szCs w:val="24"/>
        </w:rPr>
        <w:commentReference w:id="53"/>
      </w:r>
      <w:commentRangeEnd w:id="54"/>
      <w:r w:rsidR="006F646F">
        <w:rPr>
          <w:rStyle w:val="CommentReference"/>
          <w:rFonts w:ascii="Palatino Linotype" w:hAnsi="Palatino Linotype"/>
        </w:rPr>
        <w:commentReference w:id="54"/>
      </w:r>
      <w:r w:rsidR="006F646F" w:rsidRPr="0041791D">
        <w:rPr>
          <w:rFonts w:eastAsia="Calibri" w:cstheme="minorHAnsi"/>
          <w:iCs/>
          <w:sz w:val="24"/>
          <w:szCs w:val="24"/>
        </w:rPr>
        <w:t xml:space="preserve">) is currently unavailable </w:t>
      </w:r>
      <w:r w:rsidR="006F646F">
        <w:rPr>
          <w:rFonts w:eastAsia="Calibri" w:cstheme="minorHAnsi"/>
          <w:iCs/>
          <w:sz w:val="24"/>
          <w:szCs w:val="24"/>
        </w:rPr>
        <w:t xml:space="preserve">for waste disposal </w:t>
      </w:r>
      <w:r w:rsidR="006F646F" w:rsidRPr="0041791D">
        <w:rPr>
          <w:rFonts w:eastAsia="Calibri" w:cstheme="minorHAnsi"/>
          <w:iCs/>
          <w:sz w:val="24"/>
          <w:szCs w:val="24"/>
        </w:rPr>
        <w:t xml:space="preserve">due to unexcavated rock. </w:t>
      </w:r>
      <w:r w:rsidR="006F646F">
        <w:rPr>
          <w:rFonts w:eastAsia="Calibri" w:cstheme="minorHAnsi"/>
          <w:iCs/>
          <w:sz w:val="24"/>
          <w:szCs w:val="24"/>
        </w:rPr>
        <w:t>As with other cells at Coffin Butte, p</w:t>
      </w:r>
      <w:r w:rsidR="006F646F" w:rsidRPr="0041791D">
        <w:rPr>
          <w:rFonts w:eastAsia="Calibri" w:cstheme="minorHAnsi"/>
          <w:iCs/>
          <w:sz w:val="24"/>
          <w:szCs w:val="24"/>
        </w:rPr>
        <w:t xml:space="preserve">ermitted </w:t>
      </w:r>
      <w:r w:rsidR="006F646F">
        <w:rPr>
          <w:rFonts w:eastAsia="Calibri" w:cstheme="minorHAnsi"/>
          <w:iCs/>
          <w:sz w:val="24"/>
          <w:szCs w:val="24"/>
        </w:rPr>
        <w:t>air</w:t>
      </w:r>
      <w:r w:rsidR="006F646F" w:rsidRPr="0041791D">
        <w:rPr>
          <w:rFonts w:eastAsia="Calibri" w:cstheme="minorHAnsi"/>
          <w:iCs/>
          <w:sz w:val="24"/>
          <w:szCs w:val="24"/>
        </w:rPr>
        <w:t xml:space="preserve">space is </w:t>
      </w:r>
      <w:r w:rsidR="006F646F" w:rsidRPr="009C1601">
        <w:rPr>
          <w:rFonts w:eastAsia="Calibri" w:cstheme="minorHAnsi"/>
          <w:iCs/>
          <w:sz w:val="24"/>
          <w:szCs w:val="24"/>
        </w:rPr>
        <w:t>ultimately the result of two separate decisions by two separate entities.</w:t>
      </w:r>
      <w:r w:rsidR="006F646F" w:rsidRPr="0041791D">
        <w:rPr>
          <w:rFonts w:eastAsia="Calibri" w:cstheme="minorHAnsi"/>
          <w:iCs/>
          <w:sz w:val="24"/>
          <w:szCs w:val="24"/>
        </w:rPr>
        <w:t xml:space="preserve"> Benton County approves the land use for the landfill’s footprint, </w:t>
      </w:r>
      <w:r w:rsidR="006F646F">
        <w:rPr>
          <w:rFonts w:eastAsia="Calibri" w:cstheme="minorHAnsi"/>
          <w:iCs/>
          <w:sz w:val="24"/>
          <w:szCs w:val="24"/>
        </w:rPr>
        <w:t xml:space="preserve">while </w:t>
      </w:r>
      <w:r w:rsidR="006F646F" w:rsidRPr="0041791D">
        <w:rPr>
          <w:rFonts w:eastAsia="Calibri" w:cstheme="minorHAnsi"/>
          <w:iCs/>
          <w:sz w:val="24"/>
          <w:szCs w:val="24"/>
        </w:rPr>
        <w:t xml:space="preserve">DEQ and the franchisee (Valley Landfills Inc.), approve the cell design that determines the physical volume available. </w:t>
      </w:r>
    </w:p>
    <w:p w14:paraId="6F80B94C" w14:textId="75FC75FB" w:rsidR="006F646F" w:rsidRPr="0041791D" w:rsidRDefault="00415FF3" w:rsidP="006F646F">
      <w:pPr>
        <w:contextualSpacing/>
        <w:rPr>
          <w:rFonts w:eastAsia="Calibri" w:cstheme="minorHAnsi"/>
          <w:iCs/>
          <w:sz w:val="24"/>
          <w:szCs w:val="24"/>
        </w:rPr>
      </w:pPr>
      <w:hyperlink w:anchor="_West_and_East" w:history="1">
        <w:r w:rsidR="006F646F" w:rsidRPr="0041791D">
          <w:rPr>
            <w:rFonts w:eastAsia="Calibri" w:cstheme="minorHAnsi"/>
            <w:iCs/>
            <w:color w:val="0563C1"/>
            <w:sz w:val="24"/>
            <w:szCs w:val="24"/>
            <w:u w:val="single"/>
          </w:rPr>
          <w:t>LSCL-F-</w:t>
        </w:r>
        <w:r w:rsidR="00356A0C">
          <w:rPr>
            <w:rFonts w:eastAsia="Calibri" w:cstheme="minorHAnsi"/>
            <w:iCs/>
            <w:color w:val="0563C1"/>
            <w:sz w:val="24"/>
            <w:szCs w:val="24"/>
            <w:u w:val="single"/>
          </w:rPr>
          <w:t>15</w:t>
        </w:r>
      </w:hyperlink>
      <w:r w:rsidR="006F646F" w:rsidRPr="0041791D">
        <w:rPr>
          <w:rFonts w:eastAsia="Calibri" w:cstheme="minorHAnsi"/>
          <w:iCs/>
          <w:sz w:val="24"/>
          <w:szCs w:val="24"/>
        </w:rPr>
        <w:t xml:space="preserve">: </w:t>
      </w:r>
      <w:r w:rsidR="004C12F4" w:rsidRPr="00382DAD">
        <w:rPr>
          <w:rFonts w:ascii="Calibri" w:eastAsia="Calibri" w:hAnsi="Calibri" w:cs="Calibri"/>
          <w:sz w:val="24"/>
          <w:szCs w:val="24"/>
        </w:rPr>
        <w:t xml:space="preserve">The </w:t>
      </w:r>
      <w:commentRangeStart w:id="55"/>
      <w:r w:rsidR="004C12F4" w:rsidRPr="00382DAD">
        <w:rPr>
          <w:rFonts w:ascii="Calibri" w:eastAsia="Calibri" w:hAnsi="Calibri" w:cs="Calibri"/>
          <w:sz w:val="24"/>
          <w:szCs w:val="24"/>
        </w:rPr>
        <w:t xml:space="preserve">addition of Cell 6 </w:t>
      </w:r>
      <w:commentRangeEnd w:id="55"/>
      <w:r w:rsidR="004C12F4">
        <w:rPr>
          <w:rStyle w:val="CommentReference"/>
          <w:rFonts w:ascii="Palatino Linotype" w:hAnsi="Palatino Linotype"/>
        </w:rPr>
        <w:commentReference w:id="55"/>
      </w:r>
      <w:r w:rsidR="004C12F4" w:rsidRPr="00382DAD">
        <w:rPr>
          <w:rFonts w:ascii="Calibri" w:eastAsia="Calibri" w:hAnsi="Calibri" w:cs="Calibri"/>
          <w:sz w:val="24"/>
          <w:szCs w:val="24"/>
        </w:rPr>
        <w:t>added approximately 13,400,000 cubic yards</w:t>
      </w:r>
      <w:r w:rsidR="004C12F4">
        <w:rPr>
          <w:rFonts w:ascii="Calibri" w:eastAsia="Calibri" w:hAnsi="Calibri" w:cs="Calibri"/>
          <w:sz w:val="24"/>
          <w:szCs w:val="24"/>
        </w:rPr>
        <w:t>.</w:t>
      </w:r>
      <w:r w:rsidR="004C12F4" w:rsidRPr="00382DAD">
        <w:rPr>
          <w:rFonts w:ascii="Calibri" w:eastAsia="Calibri" w:hAnsi="Calibri" w:cs="Calibri"/>
          <w:sz w:val="24"/>
          <w:szCs w:val="24"/>
        </w:rPr>
        <w:t xml:space="preserve"> </w:t>
      </w:r>
      <w:r w:rsidR="006F646F" w:rsidRPr="00382DAD">
        <w:rPr>
          <w:rFonts w:ascii="Calibri" w:eastAsia="Calibri" w:hAnsi="Calibri" w:cs="Calibri"/>
          <w:sz w:val="24"/>
          <w:szCs w:val="24"/>
        </w:rPr>
        <w:t>Landfill total capacity increased by approximately 9,000,000 cubic yards in 2003 with the addition of the West and East triangle areas</w:t>
      </w:r>
      <w:r w:rsidR="004C12F4">
        <w:rPr>
          <w:rFonts w:ascii="Calibri" w:eastAsia="Calibri" w:hAnsi="Calibri" w:cs="Calibri"/>
          <w:sz w:val="24"/>
          <w:szCs w:val="24"/>
        </w:rPr>
        <w:t xml:space="preserve"> </w:t>
      </w:r>
      <w:r w:rsidR="006F646F" w:rsidRPr="00382DAD">
        <w:rPr>
          <w:rFonts w:ascii="Calibri" w:eastAsia="Calibri" w:hAnsi="Calibri" w:cs="Calibri"/>
          <w:sz w:val="24"/>
          <w:szCs w:val="24"/>
        </w:rPr>
        <w:t xml:space="preserve">for a total of approximately 35,500,000 cubic yards. The formal </w:t>
      </w:r>
      <w:r w:rsidR="006F646F">
        <w:rPr>
          <w:rFonts w:ascii="Calibri" w:eastAsia="Calibri" w:hAnsi="Calibri" w:cs="Calibri"/>
          <w:sz w:val="24"/>
          <w:szCs w:val="24"/>
        </w:rPr>
        <w:t xml:space="preserve">County </w:t>
      </w:r>
      <w:r w:rsidR="006F646F" w:rsidRPr="00382DAD">
        <w:rPr>
          <w:rFonts w:ascii="Calibri" w:eastAsia="Calibri" w:hAnsi="Calibri" w:cs="Calibri"/>
          <w:sz w:val="24"/>
          <w:szCs w:val="24"/>
        </w:rPr>
        <w:t xml:space="preserve">approval of Cell 6 as a disposal area </w:t>
      </w:r>
      <w:commentRangeStart w:id="56"/>
      <w:commentRangeStart w:id="57"/>
      <w:r w:rsidR="006F646F" w:rsidRPr="00382DAD">
        <w:rPr>
          <w:rFonts w:ascii="Calibri" w:eastAsia="Calibri" w:hAnsi="Calibri" w:cs="Calibri"/>
          <w:sz w:val="24"/>
          <w:szCs w:val="24"/>
        </w:rPr>
        <w:t xml:space="preserve">has not been </w:t>
      </w:r>
      <w:commentRangeEnd w:id="56"/>
      <w:r w:rsidR="006F646F">
        <w:rPr>
          <w:rStyle w:val="CommentReference"/>
        </w:rPr>
        <w:commentReference w:id="56"/>
      </w:r>
      <w:commentRangeEnd w:id="57"/>
      <w:r w:rsidR="006F646F">
        <w:rPr>
          <w:rStyle w:val="CommentReference"/>
        </w:rPr>
        <w:commentReference w:id="57"/>
      </w:r>
      <w:r w:rsidR="006F646F" w:rsidRPr="00382DAD">
        <w:rPr>
          <w:rFonts w:ascii="Calibri" w:eastAsia="Calibri" w:hAnsi="Calibri" w:cs="Calibri"/>
          <w:sz w:val="24"/>
          <w:szCs w:val="24"/>
        </w:rPr>
        <w:t>identified or confirmed.  Since 2004, reported remaining airspace has decreased gradually, while total permitted airspace has remaining somewhat constant. As of end 2021 approximately 44% of permitted capacity remained unused.</w:t>
      </w:r>
    </w:p>
    <w:p w14:paraId="38518482" w14:textId="77777777" w:rsidR="006F646F" w:rsidRPr="0041791D" w:rsidRDefault="006F646F" w:rsidP="006F646F">
      <w:pPr>
        <w:ind w:left="720"/>
        <w:contextualSpacing/>
        <w:rPr>
          <w:rFonts w:eastAsia="Calibri" w:cstheme="minorHAnsi"/>
          <w:iCs/>
          <w:sz w:val="24"/>
          <w:szCs w:val="24"/>
        </w:rPr>
      </w:pPr>
    </w:p>
    <w:p w14:paraId="2A553849" w14:textId="77777777" w:rsidR="006F646F" w:rsidRPr="0041791D" w:rsidRDefault="006F646F" w:rsidP="006F646F">
      <w:pPr>
        <w:spacing w:after="240" w:line="240" w:lineRule="auto"/>
        <w:rPr>
          <w:rFonts w:eastAsia="Calibri" w:cstheme="minorHAnsi"/>
          <w:iCs/>
          <w:sz w:val="24"/>
          <w:szCs w:val="24"/>
        </w:rPr>
      </w:pPr>
    </w:p>
    <w:p w14:paraId="225CFFD2" w14:textId="77777777" w:rsidR="006F646F" w:rsidRPr="0041791D" w:rsidRDefault="006F646F" w:rsidP="006F646F">
      <w:pPr>
        <w:spacing w:after="240" w:line="240" w:lineRule="auto"/>
        <w:rPr>
          <w:rFonts w:eastAsia="Calibri" w:cstheme="minorHAnsi"/>
          <w:b/>
          <w:sz w:val="24"/>
          <w:szCs w:val="24"/>
          <w:u w:val="single"/>
        </w:rPr>
      </w:pPr>
      <w:r w:rsidRPr="0041791D">
        <w:rPr>
          <w:rFonts w:eastAsia="Calibri" w:cstheme="minorHAnsi"/>
          <w:b/>
          <w:sz w:val="24"/>
          <w:szCs w:val="24"/>
          <w:u w:val="single"/>
        </w:rPr>
        <w:t>Landfill Size:  Intake Tonnage</w:t>
      </w:r>
    </w:p>
    <w:p w14:paraId="64CED0B6" w14:textId="7F890F69" w:rsidR="006F646F" w:rsidRPr="009C086B" w:rsidRDefault="00415FF3" w:rsidP="006F646F">
      <w:pPr>
        <w:spacing w:after="0" w:line="240" w:lineRule="auto"/>
        <w:rPr>
          <w:rFonts w:ascii="Times New Roman" w:hAnsi="Times New Roman" w:cs="Times New Roman"/>
          <w:sz w:val="24"/>
          <w:szCs w:val="24"/>
        </w:rPr>
      </w:pPr>
      <w:hyperlink w:anchor="LSCL_F_24" w:history="1">
        <w:r w:rsidR="006F646F" w:rsidRPr="0041791D">
          <w:rPr>
            <w:rFonts w:eastAsia="Calibri" w:cstheme="minorHAnsi"/>
            <w:iCs/>
            <w:color w:val="0563C1"/>
            <w:sz w:val="24"/>
            <w:szCs w:val="24"/>
            <w:u w:val="single"/>
          </w:rPr>
          <w:t>LSCL-F-1</w:t>
        </w:r>
        <w:r w:rsidR="00356A0C">
          <w:rPr>
            <w:rFonts w:eastAsia="Calibri" w:cstheme="minorHAnsi"/>
            <w:iCs/>
            <w:color w:val="0563C1"/>
            <w:sz w:val="24"/>
            <w:szCs w:val="24"/>
            <w:u w:val="single"/>
          </w:rPr>
          <w:t>6</w:t>
        </w:r>
      </w:hyperlink>
      <w:r w:rsidR="006F646F" w:rsidRPr="0041791D">
        <w:rPr>
          <w:rFonts w:eastAsia="Calibri" w:cstheme="minorHAnsi"/>
          <w:iCs/>
          <w:sz w:val="24"/>
          <w:szCs w:val="24"/>
        </w:rPr>
        <w:t xml:space="preserve">: The amount of waste placed into the landfill has grown dramatically over the past 40 years. In 1983, 375 tons per day were placed into the landfill (117,000 tons per year). By 1993, the tonnage volume increased to 310,000 tons per year. In 2003 550,000 tons were placed into the landfill. </w:t>
      </w:r>
      <w:r w:rsidR="004C12F4">
        <w:rPr>
          <w:rFonts w:eastAsia="Calibri" w:cstheme="minorHAnsi"/>
          <w:iCs/>
          <w:sz w:val="24"/>
          <w:szCs w:val="24"/>
        </w:rPr>
        <w:t>In</w:t>
      </w:r>
      <w:commentRangeStart w:id="58"/>
      <w:commentRangeStart w:id="59"/>
      <w:commentRangeStart w:id="60"/>
      <w:r w:rsidR="006F646F">
        <w:rPr>
          <w:rFonts w:eastAsia="Calibri" w:cstheme="minorHAnsi"/>
          <w:iCs/>
          <w:sz w:val="24"/>
          <w:szCs w:val="24"/>
        </w:rPr>
        <w:t xml:space="preserve"> 2013, the waste tonnage was 479,000, </w:t>
      </w:r>
      <w:commentRangeEnd w:id="58"/>
      <w:r w:rsidR="006F646F">
        <w:rPr>
          <w:rStyle w:val="CommentReference"/>
          <w:rFonts w:ascii="Palatino Linotype" w:hAnsi="Palatino Linotype"/>
        </w:rPr>
        <w:commentReference w:id="58"/>
      </w:r>
      <w:commentRangeEnd w:id="59"/>
      <w:r w:rsidR="006F646F">
        <w:rPr>
          <w:rStyle w:val="CommentReference"/>
          <w:rFonts w:ascii="Palatino Linotype" w:hAnsi="Palatino Linotype"/>
        </w:rPr>
        <w:commentReference w:id="59"/>
      </w:r>
      <w:commentRangeEnd w:id="60"/>
      <w:r w:rsidR="006F646F">
        <w:rPr>
          <w:rStyle w:val="CommentReference"/>
          <w:rFonts w:ascii="Palatino Linotype" w:hAnsi="Palatino Linotype"/>
        </w:rPr>
        <w:commentReference w:id="60"/>
      </w:r>
      <w:r w:rsidR="006F646F">
        <w:rPr>
          <w:rFonts w:ascii="Times New Roman" w:hAnsi="Times New Roman" w:cs="Times New Roman"/>
          <w:sz w:val="24"/>
          <w:szCs w:val="24"/>
        </w:rPr>
        <w:t xml:space="preserve"> </w:t>
      </w:r>
      <w:r w:rsidR="006F646F" w:rsidRPr="0041791D">
        <w:rPr>
          <w:rFonts w:eastAsia="Calibri" w:cstheme="minorHAnsi"/>
          <w:iCs/>
          <w:sz w:val="24"/>
          <w:szCs w:val="24"/>
        </w:rPr>
        <w:t>and in 2021, 1,046,000 tons were emplaced.</w:t>
      </w:r>
    </w:p>
    <w:p w14:paraId="6D29C383" w14:textId="3978F9CE" w:rsidR="006F646F" w:rsidRPr="0041791D" w:rsidRDefault="00415FF3" w:rsidP="006F646F">
      <w:pPr>
        <w:spacing w:after="240" w:line="240" w:lineRule="auto"/>
        <w:rPr>
          <w:rFonts w:eastAsia="Calibri" w:cstheme="minorHAnsi"/>
          <w:iCs/>
          <w:sz w:val="24"/>
          <w:szCs w:val="24"/>
        </w:rPr>
      </w:pPr>
      <w:hyperlink w:anchor="_Intake_Volume" w:history="1">
        <w:r w:rsidR="006F646F" w:rsidRPr="0041791D">
          <w:rPr>
            <w:rStyle w:val="Hyperlink"/>
            <w:rFonts w:eastAsia="Calibri" w:cstheme="minorHAnsi"/>
            <w:sz w:val="24"/>
            <w:szCs w:val="24"/>
          </w:rPr>
          <w:t>LSCL-F-1</w:t>
        </w:r>
        <w:r w:rsidR="00356A0C">
          <w:rPr>
            <w:rStyle w:val="Hyperlink"/>
            <w:rFonts w:eastAsia="Calibri" w:cstheme="minorHAnsi"/>
            <w:sz w:val="24"/>
            <w:szCs w:val="24"/>
          </w:rPr>
          <w:t>7</w:t>
        </w:r>
      </w:hyperlink>
      <w:r w:rsidR="006F646F" w:rsidRPr="0041791D">
        <w:rPr>
          <w:rFonts w:eastAsia="Calibri" w:cstheme="minorHAnsi"/>
          <w:iCs/>
          <w:sz w:val="24"/>
          <w:szCs w:val="24"/>
        </w:rPr>
        <w:t>: The official 2022 Coffin Butte annual intake tonnage is not available at the time of this report (February 2023).  The size of the Host Fee payment to Benton County in January 2023 indicates a 2022 intake volume of 1,066,436 Tons. The actual tonnage figure should be updated after the receipt of the 2022 Coffin Butte Landfill Annual Report.</w:t>
      </w:r>
    </w:p>
    <w:commentRangeStart w:id="61"/>
    <w:commentRangeStart w:id="62"/>
    <w:p w14:paraId="763E59EB" w14:textId="2D124411" w:rsidR="006F646F" w:rsidRPr="0041791D" w:rsidRDefault="006F646F" w:rsidP="006F646F">
      <w:pPr>
        <w:spacing w:after="240" w:line="240" w:lineRule="auto"/>
        <w:contextualSpacing/>
        <w:rPr>
          <w:rFonts w:eastAsia="Calibri" w:cstheme="minorHAnsi"/>
          <w:sz w:val="24"/>
          <w:szCs w:val="24"/>
        </w:rPr>
      </w:pPr>
      <w:r w:rsidRPr="0041791D">
        <w:rPr>
          <w:rFonts w:eastAsia="Calibri" w:cstheme="minorHAnsi"/>
          <w:sz w:val="24"/>
          <w:szCs w:val="24"/>
        </w:rPr>
        <w:fldChar w:fldCharType="begin"/>
      </w:r>
      <w:r w:rsidRPr="0041791D">
        <w:rPr>
          <w:rFonts w:eastAsia="Calibri" w:cstheme="minorHAnsi"/>
          <w:sz w:val="24"/>
          <w:szCs w:val="24"/>
        </w:rPr>
        <w:instrText>HYPERLINK  \l "_Intake_Volume"</w:instrText>
      </w:r>
      <w:r w:rsidRPr="0041791D">
        <w:rPr>
          <w:rFonts w:eastAsia="Calibri" w:cstheme="minorHAnsi"/>
          <w:sz w:val="24"/>
          <w:szCs w:val="24"/>
        </w:rPr>
      </w:r>
      <w:r w:rsidRPr="0041791D">
        <w:rPr>
          <w:rFonts w:eastAsia="Calibri" w:cstheme="minorHAnsi"/>
          <w:sz w:val="24"/>
          <w:szCs w:val="24"/>
        </w:rPr>
        <w:fldChar w:fldCharType="separate"/>
      </w:r>
      <w:r w:rsidRPr="0041791D">
        <w:rPr>
          <w:rFonts w:eastAsia="Calibri" w:cstheme="minorHAnsi"/>
          <w:color w:val="0563C1"/>
          <w:sz w:val="24"/>
          <w:szCs w:val="24"/>
          <w:u w:val="single"/>
        </w:rPr>
        <w:t>LSCL-F-1</w:t>
      </w:r>
      <w:r w:rsidR="00356A0C">
        <w:rPr>
          <w:rFonts w:eastAsia="Calibri" w:cstheme="minorHAnsi"/>
          <w:color w:val="0563C1"/>
          <w:sz w:val="24"/>
          <w:szCs w:val="24"/>
          <w:u w:val="single"/>
        </w:rPr>
        <w:t>8</w:t>
      </w:r>
      <w:r w:rsidRPr="0041791D">
        <w:rPr>
          <w:rFonts w:eastAsia="Calibri" w:cstheme="minorHAnsi"/>
          <w:sz w:val="24"/>
          <w:szCs w:val="24"/>
        </w:rPr>
        <w:fldChar w:fldCharType="end"/>
      </w:r>
      <w:r w:rsidRPr="0041791D">
        <w:rPr>
          <w:rFonts w:eastAsia="Calibri" w:cstheme="minorHAnsi"/>
          <w:sz w:val="24"/>
          <w:szCs w:val="24"/>
        </w:rPr>
        <w:t>:</w:t>
      </w:r>
      <w:commentRangeEnd w:id="61"/>
      <w:r w:rsidRPr="0041791D">
        <w:rPr>
          <w:rFonts w:eastAsia="Calibri" w:cstheme="minorHAnsi"/>
          <w:sz w:val="24"/>
          <w:szCs w:val="24"/>
        </w:rPr>
        <w:commentReference w:id="61"/>
      </w:r>
      <w:r w:rsidRPr="0041791D">
        <w:rPr>
          <w:rFonts w:eastAsia="Calibri" w:cstheme="minorHAnsi"/>
          <w:sz w:val="24"/>
          <w:szCs w:val="24"/>
        </w:rPr>
        <w:t xml:space="preserve"> The 2000 Landfill Franchise Agreement stipulated that the County was to perform a “Baseline” study as a reference for measuring potential future adverse effects (completed in 2001</w:t>
      </w:r>
      <w:proofErr w:type="gramStart"/>
      <w:r w:rsidRPr="0041791D">
        <w:rPr>
          <w:rFonts w:eastAsia="Calibri" w:cstheme="minorHAnsi"/>
          <w:sz w:val="24"/>
          <w:szCs w:val="24"/>
        </w:rPr>
        <w:t>), and</w:t>
      </w:r>
      <w:proofErr w:type="gramEnd"/>
      <w:r w:rsidRPr="0041791D">
        <w:rPr>
          <w:rFonts w:eastAsia="Calibri" w:cstheme="minorHAnsi"/>
          <w:sz w:val="24"/>
          <w:szCs w:val="24"/>
        </w:rPr>
        <w:t xml:space="preserve"> defined a ramping intake tonnage threshold to be applied during the term of the agreement (CY2001-2019).  Intake volumes in excess of this threshold granted the County clear right to pursue specific remedies: a) the County, at its expense, could perform an updated Baseline assessment, and b) if the County determined that the new assessment indicated an adverse impact on “the Baseline,” the agreement stipulated that “the parties shall immediately proceed in good faith to negotiate an increase in the Franchise Fee and/or Host Surcharge…”.</w:t>
      </w:r>
      <w:commentRangeEnd w:id="62"/>
      <w:r w:rsidRPr="0041791D">
        <w:rPr>
          <w:rStyle w:val="CommentReference"/>
          <w:rFonts w:cstheme="minorHAnsi"/>
          <w:sz w:val="24"/>
          <w:szCs w:val="24"/>
        </w:rPr>
        <w:commentReference w:id="62"/>
      </w:r>
    </w:p>
    <w:p w14:paraId="510C8AC6" w14:textId="77777777" w:rsidR="006F646F" w:rsidRPr="0041791D" w:rsidRDefault="006F646F" w:rsidP="006F646F">
      <w:pPr>
        <w:spacing w:after="240" w:line="240" w:lineRule="auto"/>
        <w:contextualSpacing/>
        <w:rPr>
          <w:rFonts w:eastAsia="Calibri" w:cstheme="minorHAnsi"/>
          <w:iCs/>
          <w:sz w:val="24"/>
          <w:szCs w:val="24"/>
        </w:rPr>
      </w:pPr>
    </w:p>
    <w:p w14:paraId="6934B840" w14:textId="50F0C42E" w:rsidR="006F646F" w:rsidRPr="00781B0B" w:rsidRDefault="00415FF3" w:rsidP="006F646F">
      <w:pPr>
        <w:spacing w:after="0" w:line="240" w:lineRule="auto"/>
        <w:rPr>
          <w:rFonts w:ascii="Times New Roman" w:hAnsi="Times New Roman" w:cs="Times New Roman"/>
          <w:sz w:val="24"/>
          <w:szCs w:val="24"/>
        </w:rPr>
      </w:pPr>
      <w:hyperlink w:anchor="_Intake_Volume" w:history="1">
        <w:commentRangeStart w:id="63"/>
        <w:r w:rsidR="006F646F" w:rsidRPr="0041791D">
          <w:rPr>
            <w:rStyle w:val="Hyperlink"/>
            <w:rFonts w:eastAsia="Calibri" w:cstheme="minorHAnsi"/>
            <w:sz w:val="24"/>
            <w:szCs w:val="24"/>
          </w:rPr>
          <w:t>LSCL-</w:t>
        </w:r>
        <w:commentRangeEnd w:id="63"/>
        <w:r w:rsidR="006F646F" w:rsidRPr="0041791D">
          <w:rPr>
            <w:rStyle w:val="Hyperlink"/>
            <w:rFonts w:eastAsia="Calibri" w:cstheme="minorHAnsi"/>
            <w:sz w:val="24"/>
            <w:szCs w:val="24"/>
          </w:rPr>
          <w:commentReference w:id="63"/>
        </w:r>
        <w:r w:rsidR="006F646F" w:rsidRPr="0041791D">
          <w:rPr>
            <w:rStyle w:val="Hyperlink"/>
            <w:rFonts w:eastAsia="Calibri" w:cstheme="minorHAnsi"/>
            <w:sz w:val="24"/>
            <w:szCs w:val="24"/>
          </w:rPr>
          <w:t>F-1</w:t>
        </w:r>
        <w:r w:rsidR="00356A0C">
          <w:rPr>
            <w:rStyle w:val="Hyperlink"/>
            <w:rFonts w:eastAsia="Calibri" w:cstheme="minorHAnsi"/>
            <w:sz w:val="24"/>
            <w:szCs w:val="24"/>
          </w:rPr>
          <w:t>9</w:t>
        </w:r>
      </w:hyperlink>
      <w:r w:rsidR="006F646F" w:rsidRPr="0041791D">
        <w:rPr>
          <w:rFonts w:eastAsia="Calibri" w:cstheme="minorHAnsi"/>
          <w:iCs/>
          <w:sz w:val="24"/>
          <w:szCs w:val="24"/>
        </w:rPr>
        <w:t xml:space="preserve">: The 2000 intake tonnage threshold was exceeded in calendar years 2017, 2018 and </w:t>
      </w:r>
      <w:commentRangeStart w:id="64"/>
      <w:commentRangeStart w:id="65"/>
      <w:r w:rsidR="006F646F">
        <w:rPr>
          <w:rFonts w:eastAsia="Calibri" w:cstheme="minorHAnsi"/>
          <w:iCs/>
          <w:sz w:val="24"/>
          <w:szCs w:val="24"/>
        </w:rPr>
        <w:t>2019</w:t>
      </w:r>
      <w:commentRangeEnd w:id="64"/>
      <w:r w:rsidR="006F646F">
        <w:rPr>
          <w:rStyle w:val="CommentReference"/>
          <w:rFonts w:eastAsia="Calibri" w:cstheme="minorHAnsi"/>
          <w:sz w:val="24"/>
          <w:szCs w:val="24"/>
        </w:rPr>
        <w:commentReference w:id="64"/>
      </w:r>
      <w:commentRangeEnd w:id="65"/>
      <w:r w:rsidR="006F646F">
        <w:rPr>
          <w:rStyle w:val="CommentReference"/>
          <w:rFonts w:ascii="Palatino Linotype" w:hAnsi="Palatino Linotype"/>
        </w:rPr>
        <w:commentReference w:id="65"/>
      </w:r>
      <w:r w:rsidR="006F646F" w:rsidRPr="0041791D">
        <w:rPr>
          <w:rFonts w:eastAsia="Calibri" w:cstheme="minorHAnsi"/>
          <w:iCs/>
          <w:sz w:val="24"/>
          <w:szCs w:val="24"/>
        </w:rPr>
        <w:t>.</w:t>
      </w:r>
    </w:p>
    <w:p w14:paraId="268D65CA" w14:textId="77777777" w:rsidR="006F646F" w:rsidRPr="0041791D" w:rsidRDefault="006F646F" w:rsidP="006F646F">
      <w:pPr>
        <w:spacing w:after="240" w:line="240" w:lineRule="auto"/>
        <w:ind w:left="720"/>
        <w:contextualSpacing/>
        <w:rPr>
          <w:rFonts w:eastAsia="Calibri" w:cstheme="minorHAnsi"/>
          <w:iCs/>
          <w:sz w:val="24"/>
          <w:szCs w:val="24"/>
        </w:rPr>
      </w:pPr>
    </w:p>
    <w:p w14:paraId="1986B780" w14:textId="168D1688" w:rsidR="006F646F" w:rsidRPr="0041791D" w:rsidRDefault="00415FF3" w:rsidP="006F646F">
      <w:pPr>
        <w:spacing w:after="240" w:line="240" w:lineRule="auto"/>
        <w:contextualSpacing/>
        <w:rPr>
          <w:rFonts w:eastAsia="Calibri" w:cstheme="minorHAnsi"/>
          <w:iCs/>
          <w:sz w:val="24"/>
          <w:szCs w:val="24"/>
        </w:rPr>
      </w:pPr>
      <w:hyperlink w:anchor="_Intake_Volume" w:history="1">
        <w:r w:rsidR="006F646F" w:rsidRPr="0041791D">
          <w:rPr>
            <w:rFonts w:eastAsia="Calibri" w:cstheme="minorHAnsi"/>
            <w:iCs/>
            <w:color w:val="0563C1"/>
            <w:sz w:val="24"/>
            <w:szCs w:val="24"/>
            <w:u w:val="single"/>
          </w:rPr>
          <w:t>LSCL-F-</w:t>
        </w:r>
        <w:r w:rsidR="00356A0C">
          <w:rPr>
            <w:rFonts w:eastAsia="Calibri" w:cstheme="minorHAnsi"/>
            <w:iCs/>
            <w:color w:val="0563C1"/>
            <w:sz w:val="24"/>
            <w:szCs w:val="24"/>
            <w:u w:val="single"/>
          </w:rPr>
          <w:t>20</w:t>
        </w:r>
      </w:hyperlink>
      <w:r w:rsidR="006F646F" w:rsidRPr="0041791D">
        <w:rPr>
          <w:rFonts w:eastAsia="Calibri" w:cstheme="minorHAnsi"/>
          <w:iCs/>
          <w:sz w:val="24"/>
          <w:szCs w:val="24"/>
        </w:rPr>
        <w:t xml:space="preserve">: Washington County waste tonnage accepted at the landfill increased by over 400% between 2016-2017, with the increased tonnage continuing through 2019. Riverbend Landfill was a regional landfill that accepted waste from many counties, including Washington </w:t>
      </w:r>
      <w:commentRangeStart w:id="66"/>
      <w:r w:rsidR="006F646F" w:rsidRPr="0041791D">
        <w:rPr>
          <w:rFonts w:eastAsia="Calibri" w:cstheme="minorHAnsi"/>
          <w:iCs/>
          <w:sz w:val="24"/>
          <w:szCs w:val="24"/>
        </w:rPr>
        <w:t>County</w:t>
      </w:r>
      <w:commentRangeEnd w:id="66"/>
      <w:r w:rsidR="006F646F" w:rsidRPr="0041791D">
        <w:rPr>
          <w:rFonts w:eastAsia="Calibri" w:cstheme="minorHAnsi"/>
          <w:sz w:val="24"/>
          <w:szCs w:val="24"/>
        </w:rPr>
        <w:commentReference w:id="66"/>
      </w:r>
      <w:r w:rsidR="006F646F" w:rsidRPr="0041791D">
        <w:rPr>
          <w:rFonts w:eastAsia="Calibri" w:cstheme="minorHAnsi"/>
          <w:iCs/>
          <w:sz w:val="24"/>
          <w:szCs w:val="24"/>
        </w:rPr>
        <w:t>. Riverbend</w:t>
      </w:r>
      <w:r w:rsidR="004C12F4">
        <w:rPr>
          <w:rFonts w:eastAsia="Calibri" w:cstheme="minorHAnsi"/>
          <w:iCs/>
          <w:sz w:val="24"/>
          <w:szCs w:val="24"/>
        </w:rPr>
        <w:t>’s owner/operator</w:t>
      </w:r>
      <w:r w:rsidR="006F646F" w:rsidRPr="0041791D">
        <w:rPr>
          <w:rFonts w:eastAsia="Calibri" w:cstheme="minorHAnsi"/>
          <w:iCs/>
          <w:sz w:val="24"/>
          <w:szCs w:val="24"/>
        </w:rPr>
        <w:t xml:space="preserve"> diverted</w:t>
      </w:r>
      <w:r w:rsidR="004C12F4">
        <w:rPr>
          <w:rFonts w:eastAsia="Calibri" w:cstheme="minorHAnsi"/>
          <w:iCs/>
          <w:sz w:val="24"/>
          <w:szCs w:val="24"/>
        </w:rPr>
        <w:t xml:space="preserve"> tonnage</w:t>
      </w:r>
      <w:r w:rsidR="006F646F" w:rsidRPr="0041791D">
        <w:rPr>
          <w:rFonts w:eastAsia="Calibri" w:cstheme="minorHAnsi"/>
          <w:iCs/>
          <w:sz w:val="24"/>
          <w:szCs w:val="24"/>
        </w:rPr>
        <w:t xml:space="preserve"> to Coffin Butte </w:t>
      </w:r>
      <w:proofErr w:type="gramStart"/>
      <w:r w:rsidR="006F646F" w:rsidRPr="0041791D">
        <w:rPr>
          <w:rFonts w:eastAsia="Calibri" w:cstheme="minorHAnsi"/>
          <w:iCs/>
          <w:sz w:val="24"/>
          <w:szCs w:val="24"/>
        </w:rPr>
        <w:t>in an effort to</w:t>
      </w:r>
      <w:proofErr w:type="gramEnd"/>
      <w:r w:rsidR="006F646F" w:rsidRPr="0041791D">
        <w:rPr>
          <w:rFonts w:eastAsia="Calibri" w:cstheme="minorHAnsi"/>
          <w:iCs/>
          <w:sz w:val="24"/>
          <w:szCs w:val="24"/>
        </w:rPr>
        <w:t xml:space="preserve"> extend Riverbend’s site life.</w:t>
      </w:r>
    </w:p>
    <w:p w14:paraId="603A570E" w14:textId="77777777" w:rsidR="006F646F" w:rsidRPr="0041791D" w:rsidRDefault="006F646F" w:rsidP="006F646F">
      <w:pPr>
        <w:spacing w:after="240" w:line="240" w:lineRule="auto"/>
        <w:ind w:left="360"/>
        <w:contextualSpacing/>
        <w:rPr>
          <w:rFonts w:eastAsia="Calibri" w:cstheme="minorHAnsi"/>
          <w:iCs/>
          <w:sz w:val="24"/>
          <w:szCs w:val="24"/>
        </w:rPr>
      </w:pPr>
    </w:p>
    <w:p w14:paraId="392A9EB6" w14:textId="4053F6D9" w:rsidR="006F646F" w:rsidRPr="0041791D" w:rsidRDefault="00415FF3" w:rsidP="006F646F">
      <w:pPr>
        <w:spacing w:after="240" w:line="240" w:lineRule="auto"/>
        <w:contextualSpacing/>
        <w:rPr>
          <w:rFonts w:eastAsia="Calibri" w:cstheme="minorHAnsi"/>
          <w:iCs/>
          <w:sz w:val="24"/>
          <w:szCs w:val="24"/>
        </w:rPr>
      </w:pPr>
      <w:hyperlink w:anchor="_Intake_Volume" w:history="1">
        <w:r w:rsidR="006F646F" w:rsidRPr="0041791D">
          <w:rPr>
            <w:rStyle w:val="Hyperlink"/>
            <w:rFonts w:eastAsia="Calibri" w:cstheme="minorHAnsi"/>
            <w:sz w:val="24"/>
            <w:szCs w:val="24"/>
          </w:rPr>
          <w:t>LSCL-F-</w:t>
        </w:r>
        <w:r w:rsidR="00356A0C">
          <w:rPr>
            <w:rStyle w:val="Hyperlink"/>
            <w:rFonts w:eastAsia="Calibri" w:cstheme="minorHAnsi"/>
            <w:sz w:val="24"/>
            <w:szCs w:val="24"/>
          </w:rPr>
          <w:t>21</w:t>
        </w:r>
      </w:hyperlink>
      <w:r w:rsidR="006F646F" w:rsidRPr="0041791D">
        <w:rPr>
          <w:rFonts w:eastAsia="Calibri" w:cstheme="minorHAnsi"/>
          <w:iCs/>
          <w:sz w:val="24"/>
          <w:szCs w:val="24"/>
        </w:rPr>
        <w:t xml:space="preserve">: Benton County did not utilize either of the contractual remedies available to it </w:t>
      </w:r>
      <w:proofErr w:type="gramStart"/>
      <w:r w:rsidR="006F646F" w:rsidRPr="0041791D">
        <w:rPr>
          <w:rFonts w:eastAsia="Calibri" w:cstheme="minorHAnsi"/>
          <w:iCs/>
          <w:sz w:val="24"/>
          <w:szCs w:val="24"/>
        </w:rPr>
        <w:t>as a result of</w:t>
      </w:r>
      <w:proofErr w:type="gramEnd"/>
      <w:r w:rsidR="006F646F" w:rsidRPr="0041791D">
        <w:rPr>
          <w:rFonts w:eastAsia="Calibri" w:cstheme="minorHAnsi"/>
          <w:iCs/>
          <w:sz w:val="24"/>
          <w:szCs w:val="24"/>
        </w:rPr>
        <w:t xml:space="preserve"> the intake tonnage exceeding the threshold in 2017-2019.  No updated Baseline study was performed, and no renegotiation of the landfill fee structure was undertaken.</w:t>
      </w:r>
    </w:p>
    <w:p w14:paraId="331771CD" w14:textId="77777777" w:rsidR="006F646F" w:rsidRPr="0041791D" w:rsidRDefault="006F646F" w:rsidP="006F646F">
      <w:pPr>
        <w:spacing w:after="240" w:line="240" w:lineRule="auto"/>
        <w:contextualSpacing/>
        <w:rPr>
          <w:rFonts w:eastAsia="Calibri" w:cstheme="minorHAnsi"/>
          <w:iCs/>
          <w:sz w:val="24"/>
          <w:szCs w:val="24"/>
        </w:rPr>
      </w:pPr>
    </w:p>
    <w:p w14:paraId="25759C77" w14:textId="1936EED2" w:rsidR="006F646F" w:rsidRPr="0041791D" w:rsidRDefault="00415FF3" w:rsidP="006F646F">
      <w:pPr>
        <w:spacing w:after="240" w:line="240" w:lineRule="auto"/>
        <w:contextualSpacing/>
        <w:rPr>
          <w:rFonts w:eastAsia="Calibri" w:cstheme="minorHAnsi"/>
          <w:iCs/>
          <w:sz w:val="24"/>
          <w:szCs w:val="24"/>
        </w:rPr>
      </w:pPr>
      <w:hyperlink w:anchor="_Intake_Volume" w:history="1">
        <w:r w:rsidR="006F646F" w:rsidRPr="0041791D">
          <w:rPr>
            <w:rFonts w:eastAsia="Calibri" w:cstheme="minorHAnsi"/>
            <w:iCs/>
            <w:color w:val="0563C1"/>
            <w:sz w:val="24"/>
            <w:szCs w:val="24"/>
            <w:u w:val="single"/>
          </w:rPr>
          <w:t>LSCL-F-</w:t>
        </w:r>
        <w:r w:rsidR="00356A0C">
          <w:rPr>
            <w:rFonts w:eastAsia="Calibri" w:cstheme="minorHAnsi"/>
            <w:iCs/>
            <w:color w:val="0563C1"/>
            <w:sz w:val="24"/>
            <w:szCs w:val="24"/>
            <w:u w:val="single"/>
          </w:rPr>
          <w:t>22</w:t>
        </w:r>
      </w:hyperlink>
      <w:r w:rsidR="006F646F" w:rsidRPr="0041791D">
        <w:rPr>
          <w:rFonts w:eastAsia="Calibri" w:cstheme="minorHAnsi"/>
          <w:iCs/>
          <w:sz w:val="24"/>
          <w:szCs w:val="24"/>
        </w:rPr>
        <w:t xml:space="preserve">: </w:t>
      </w:r>
      <w:commentRangeStart w:id="67"/>
      <w:r w:rsidR="006F646F" w:rsidRPr="0041791D">
        <w:rPr>
          <w:rFonts w:eastAsia="Calibri" w:cstheme="minorHAnsi"/>
          <w:sz w:val="24"/>
          <w:szCs w:val="24"/>
        </w:rPr>
        <w:t>Benton County received approximately $3.1M of incremental revenue from the increased intake volumes over the 2017-2019 period</w:t>
      </w:r>
      <w:commentRangeEnd w:id="67"/>
      <w:r w:rsidR="006F646F" w:rsidRPr="0041791D">
        <w:rPr>
          <w:rFonts w:eastAsia="Calibri" w:cstheme="minorHAnsi"/>
          <w:sz w:val="24"/>
          <w:szCs w:val="24"/>
        </w:rPr>
        <w:commentReference w:id="67"/>
      </w:r>
      <w:r w:rsidR="006F646F" w:rsidRPr="0041791D">
        <w:rPr>
          <w:rFonts w:eastAsia="Calibri" w:cstheme="minorHAnsi"/>
          <w:iCs/>
          <w:sz w:val="24"/>
          <w:szCs w:val="24"/>
        </w:rPr>
        <w:t xml:space="preserve">. Of this, approximately $1.08M was the result of intake volume </w:t>
      </w:r>
      <w:proofErr w:type="gramStart"/>
      <w:r w:rsidR="006F646F" w:rsidRPr="0041791D">
        <w:rPr>
          <w:rFonts w:eastAsia="Calibri" w:cstheme="minorHAnsi"/>
          <w:iCs/>
          <w:sz w:val="24"/>
          <w:szCs w:val="24"/>
        </w:rPr>
        <w:t>in excess of</w:t>
      </w:r>
      <w:proofErr w:type="gramEnd"/>
      <w:r w:rsidR="006F646F" w:rsidRPr="0041791D">
        <w:rPr>
          <w:rFonts w:eastAsia="Calibri" w:cstheme="minorHAnsi"/>
          <w:iCs/>
          <w:sz w:val="24"/>
          <w:szCs w:val="24"/>
        </w:rPr>
        <w:t xml:space="preserve"> the annual limits over the three-year period.  This equates to roughly $11.50 total per Benton County resident for the three-year period.</w:t>
      </w:r>
    </w:p>
    <w:p w14:paraId="2C0056A6" w14:textId="77777777" w:rsidR="006F646F" w:rsidRPr="0041791D" w:rsidRDefault="006F646F" w:rsidP="006F646F">
      <w:pPr>
        <w:spacing w:after="240" w:line="240" w:lineRule="auto"/>
        <w:ind w:left="720"/>
        <w:contextualSpacing/>
        <w:rPr>
          <w:rFonts w:eastAsia="Calibri" w:cstheme="minorHAnsi"/>
          <w:iCs/>
          <w:sz w:val="24"/>
          <w:szCs w:val="24"/>
        </w:rPr>
      </w:pPr>
    </w:p>
    <w:bookmarkStart w:id="68" w:name="_Hlk127863882"/>
    <w:p w14:paraId="2408FAD8" w14:textId="3365DE94" w:rsidR="006F646F" w:rsidRPr="0041791D" w:rsidRDefault="006F646F" w:rsidP="006F646F">
      <w:pPr>
        <w:spacing w:after="240" w:line="240" w:lineRule="auto"/>
        <w:contextualSpacing/>
        <w:rPr>
          <w:rFonts w:eastAsia="Calibri" w:cstheme="minorHAnsi"/>
          <w:color w:val="C00000"/>
          <w:sz w:val="24"/>
          <w:szCs w:val="24"/>
        </w:rPr>
      </w:pPr>
      <w:r w:rsidRPr="0041791D">
        <w:rPr>
          <w:rFonts w:cstheme="minorHAnsi"/>
          <w:sz w:val="24"/>
          <w:szCs w:val="24"/>
        </w:rPr>
        <w:fldChar w:fldCharType="begin"/>
      </w:r>
      <w:r w:rsidRPr="0041791D">
        <w:rPr>
          <w:rFonts w:cstheme="minorHAnsi"/>
          <w:sz w:val="24"/>
          <w:szCs w:val="24"/>
        </w:rPr>
        <w:instrText>HYPERLINK "file:///C:\\Users\\roughgi\\AppData\\Local\\Microsoft\\Windows\\INetCache\\Content.Outlook\\C535F33R\\Subcommittee%20A1%20Report%20v8_pgn_FR_edits_6Feb2023.docx" \l "LSCL_F_10"</w:instrText>
      </w:r>
      <w:r w:rsidRPr="0041791D">
        <w:rPr>
          <w:rFonts w:cstheme="minorHAnsi"/>
          <w:sz w:val="24"/>
          <w:szCs w:val="24"/>
        </w:rPr>
      </w:r>
      <w:r w:rsidRPr="0041791D">
        <w:rPr>
          <w:rFonts w:cstheme="minorHAnsi"/>
          <w:sz w:val="24"/>
          <w:szCs w:val="24"/>
        </w:rPr>
        <w:fldChar w:fldCharType="separate"/>
      </w:r>
      <w:r w:rsidRPr="0041791D">
        <w:rPr>
          <w:rFonts w:eastAsia="Calibri" w:cstheme="minorHAnsi"/>
          <w:color w:val="0563C1"/>
          <w:sz w:val="24"/>
          <w:szCs w:val="24"/>
          <w:u w:val="single"/>
        </w:rPr>
        <w:t>LSCL-F-</w:t>
      </w:r>
      <w:r w:rsidR="00356A0C">
        <w:rPr>
          <w:rFonts w:eastAsia="Calibri" w:cstheme="minorHAnsi"/>
          <w:color w:val="0563C1"/>
          <w:sz w:val="24"/>
          <w:szCs w:val="24"/>
          <w:u w:val="single"/>
        </w:rPr>
        <w:t>23</w:t>
      </w:r>
      <w:r w:rsidRPr="0041791D">
        <w:rPr>
          <w:rFonts w:eastAsia="Calibri" w:cstheme="minorHAnsi"/>
          <w:color w:val="0563C1"/>
          <w:sz w:val="24"/>
          <w:szCs w:val="24"/>
          <w:u w:val="single"/>
        </w:rPr>
        <w:fldChar w:fldCharType="end"/>
      </w:r>
      <w:r w:rsidRPr="0041791D">
        <w:rPr>
          <w:rFonts w:eastAsia="Calibri" w:cstheme="minorHAnsi"/>
          <w:sz w:val="24"/>
          <w:szCs w:val="24"/>
        </w:rPr>
        <w:t xml:space="preserve">: </w:t>
      </w:r>
      <w:bookmarkEnd w:id="68"/>
      <w:commentRangeStart w:id="69"/>
      <w:commentRangeStart w:id="70"/>
      <w:r w:rsidRPr="0041791D">
        <w:rPr>
          <w:rFonts w:eastAsia="Calibri" w:cstheme="minorHAnsi"/>
          <w:sz w:val="24"/>
          <w:szCs w:val="24"/>
        </w:rPr>
        <w:t xml:space="preserve">In an official 2018 presentation to Benton County Board of Commissioners, Benton County represented the 2000 Franchise Agreement intake threshold as “Annual Maximums Specified in Franchise Agreement.” </w:t>
      </w:r>
      <w:commentRangeEnd w:id="69"/>
      <w:r w:rsidRPr="0041791D">
        <w:rPr>
          <w:rFonts w:eastAsia="Calibri" w:cstheme="minorHAnsi"/>
          <w:sz w:val="24"/>
          <w:szCs w:val="24"/>
        </w:rPr>
        <w:commentReference w:id="69"/>
      </w:r>
      <w:commentRangeEnd w:id="70"/>
      <w:r w:rsidRPr="0041791D">
        <w:rPr>
          <w:rStyle w:val="CommentReference"/>
          <w:rFonts w:cstheme="minorHAnsi"/>
          <w:sz w:val="24"/>
          <w:szCs w:val="24"/>
        </w:rPr>
        <w:commentReference w:id="70"/>
      </w:r>
      <w:r w:rsidRPr="0041791D">
        <w:rPr>
          <w:rFonts w:eastAsia="Calibri" w:cstheme="minorHAnsi"/>
          <w:sz w:val="24"/>
          <w:szCs w:val="24"/>
        </w:rPr>
        <w:t xml:space="preserve">However, the 2000 Franchise Agreement does not describe the tonnage threshold as a “limit” or “maximum” and does not limit the number of tons that can be </w:t>
      </w:r>
      <w:commentRangeStart w:id="71"/>
      <w:r w:rsidRPr="0041791D">
        <w:rPr>
          <w:rFonts w:eastAsia="Calibri" w:cstheme="minorHAnsi"/>
          <w:sz w:val="24"/>
          <w:szCs w:val="24"/>
        </w:rPr>
        <w:t>accepted</w:t>
      </w:r>
      <w:commentRangeEnd w:id="71"/>
      <w:r w:rsidRPr="0041791D">
        <w:rPr>
          <w:rFonts w:eastAsia="Calibri" w:cstheme="minorHAnsi"/>
          <w:sz w:val="24"/>
          <w:szCs w:val="24"/>
        </w:rPr>
        <w:commentReference w:id="71"/>
      </w:r>
      <w:r w:rsidRPr="0041791D">
        <w:rPr>
          <w:rFonts w:eastAsia="Calibri" w:cstheme="minorHAnsi"/>
          <w:sz w:val="24"/>
          <w:szCs w:val="24"/>
        </w:rPr>
        <w:t xml:space="preserve">. </w:t>
      </w:r>
    </w:p>
    <w:p w14:paraId="078BF076" w14:textId="77777777" w:rsidR="006F646F" w:rsidRPr="0041791D" w:rsidRDefault="006F646F" w:rsidP="006F646F">
      <w:pPr>
        <w:spacing w:after="240" w:line="240" w:lineRule="auto"/>
        <w:contextualSpacing/>
        <w:rPr>
          <w:rFonts w:eastAsia="Calibri" w:cstheme="minorHAnsi"/>
          <w:iCs/>
          <w:sz w:val="24"/>
          <w:szCs w:val="24"/>
        </w:rPr>
      </w:pPr>
    </w:p>
    <w:commentRangeStart w:id="72"/>
    <w:p w14:paraId="1E9496FE" w14:textId="49114CEA" w:rsidR="006F646F" w:rsidRPr="0041791D" w:rsidRDefault="006F646F" w:rsidP="006F646F">
      <w:pPr>
        <w:spacing w:after="240" w:line="240" w:lineRule="auto"/>
        <w:contextualSpacing/>
        <w:rPr>
          <w:rFonts w:eastAsia="Calibri" w:cstheme="minorHAnsi"/>
          <w:sz w:val="24"/>
          <w:szCs w:val="24"/>
        </w:rPr>
      </w:pPr>
      <w:r w:rsidRPr="0041791D">
        <w:rPr>
          <w:rFonts w:eastAsia="Calibri" w:cstheme="minorHAnsi"/>
          <w:sz w:val="24"/>
          <w:szCs w:val="24"/>
        </w:rPr>
        <w:fldChar w:fldCharType="begin"/>
      </w:r>
      <w:r w:rsidRPr="0041791D">
        <w:rPr>
          <w:rFonts w:eastAsia="Calibri" w:cstheme="minorHAnsi"/>
          <w:sz w:val="24"/>
          <w:szCs w:val="24"/>
        </w:rPr>
        <w:instrText>HYPERLINK  \l "_Intake_Volume"</w:instrText>
      </w:r>
      <w:r w:rsidRPr="0041791D">
        <w:rPr>
          <w:rFonts w:eastAsia="Calibri" w:cstheme="minorHAnsi"/>
          <w:sz w:val="24"/>
          <w:szCs w:val="24"/>
        </w:rPr>
      </w:r>
      <w:r w:rsidRPr="0041791D">
        <w:rPr>
          <w:rFonts w:eastAsia="Calibri" w:cstheme="minorHAnsi"/>
          <w:sz w:val="24"/>
          <w:szCs w:val="24"/>
        </w:rPr>
        <w:fldChar w:fldCharType="separate"/>
      </w:r>
      <w:r w:rsidRPr="0041791D">
        <w:rPr>
          <w:rFonts w:eastAsia="Calibri" w:cstheme="minorHAnsi"/>
          <w:color w:val="0563C1"/>
          <w:sz w:val="24"/>
          <w:szCs w:val="24"/>
          <w:u w:val="single"/>
        </w:rPr>
        <w:t>LSCL-F-</w:t>
      </w:r>
      <w:r w:rsidR="00356A0C">
        <w:rPr>
          <w:rFonts w:eastAsia="Calibri" w:cstheme="minorHAnsi"/>
          <w:color w:val="0563C1"/>
          <w:sz w:val="24"/>
          <w:szCs w:val="24"/>
          <w:u w:val="single"/>
        </w:rPr>
        <w:t>24</w:t>
      </w:r>
      <w:r w:rsidRPr="0041791D">
        <w:rPr>
          <w:rFonts w:eastAsia="Calibri" w:cstheme="minorHAnsi"/>
          <w:sz w:val="24"/>
          <w:szCs w:val="24"/>
        </w:rPr>
        <w:fldChar w:fldCharType="end"/>
      </w:r>
      <w:r w:rsidRPr="0041791D">
        <w:rPr>
          <w:rFonts w:eastAsia="Calibri" w:cstheme="minorHAnsi"/>
          <w:sz w:val="24"/>
          <w:szCs w:val="24"/>
        </w:rPr>
        <w:t>:</w:t>
      </w:r>
      <w:commentRangeEnd w:id="72"/>
      <w:r w:rsidRPr="0041791D">
        <w:rPr>
          <w:rFonts w:eastAsia="Calibri" w:cstheme="minorHAnsi"/>
          <w:sz w:val="24"/>
          <w:szCs w:val="24"/>
        </w:rPr>
        <w:commentReference w:id="72"/>
      </w:r>
      <w:r w:rsidRPr="0041791D">
        <w:rPr>
          <w:rFonts w:eastAsia="Calibri" w:cstheme="minorHAnsi"/>
          <w:sz w:val="24"/>
          <w:szCs w:val="24"/>
        </w:rPr>
        <w:t xml:space="preserve"> Both the 2000 Landfill Franchise Agreement and the 2020 Landfill Franchise Agreement include a section stating that “The parties acknowledge that there may be adverse effects to the County’s infrastructure and environmental conditions due to increased annual volumes of Solid Waste accepted at the Landfill.”  In both agreements this section of the agreement then stipulates terms regarding intake volumes.</w:t>
      </w:r>
    </w:p>
    <w:p w14:paraId="4571439F" w14:textId="77777777" w:rsidR="006F646F" w:rsidRPr="0041791D" w:rsidRDefault="006F646F" w:rsidP="006F646F">
      <w:pPr>
        <w:spacing w:after="240" w:line="240" w:lineRule="auto"/>
        <w:contextualSpacing/>
        <w:rPr>
          <w:rFonts w:cstheme="minorHAnsi"/>
          <w:sz w:val="24"/>
          <w:szCs w:val="24"/>
        </w:rPr>
      </w:pPr>
    </w:p>
    <w:commentRangeStart w:id="73"/>
    <w:p w14:paraId="253C1131" w14:textId="74E158ED" w:rsidR="006F646F" w:rsidRPr="001A003A" w:rsidRDefault="006F646F" w:rsidP="006F646F">
      <w:pPr>
        <w:spacing w:after="0" w:line="240" w:lineRule="auto"/>
        <w:rPr>
          <w:rFonts w:ascii="Times New Roman" w:hAnsi="Times New Roman" w:cs="Times New Roman"/>
          <w:sz w:val="24"/>
          <w:szCs w:val="24"/>
        </w:rPr>
      </w:pPr>
      <w:r w:rsidRPr="0041791D">
        <w:rPr>
          <w:rFonts w:cstheme="minorHAnsi"/>
          <w:sz w:val="24"/>
          <w:szCs w:val="24"/>
        </w:rPr>
        <w:fldChar w:fldCharType="begin"/>
      </w:r>
      <w:r w:rsidRPr="0041791D">
        <w:rPr>
          <w:rFonts w:cstheme="minorHAnsi"/>
          <w:sz w:val="24"/>
          <w:szCs w:val="24"/>
        </w:rPr>
        <w:instrText>HYPERLINK  \l "_Intake_Volume"</w:instrText>
      </w:r>
      <w:r w:rsidRPr="0041791D">
        <w:rPr>
          <w:rFonts w:cstheme="minorHAnsi"/>
          <w:sz w:val="24"/>
          <w:szCs w:val="24"/>
        </w:rPr>
      </w:r>
      <w:r w:rsidRPr="0041791D">
        <w:rPr>
          <w:rFonts w:cstheme="minorHAnsi"/>
          <w:sz w:val="24"/>
          <w:szCs w:val="24"/>
        </w:rPr>
        <w:fldChar w:fldCharType="separate"/>
      </w:r>
      <w:r w:rsidRPr="0041791D">
        <w:rPr>
          <w:rFonts w:eastAsia="Calibri" w:cstheme="minorHAnsi"/>
          <w:color w:val="0563C1"/>
          <w:sz w:val="24"/>
          <w:szCs w:val="24"/>
          <w:u w:val="single"/>
        </w:rPr>
        <w:t>LSCL-F-</w:t>
      </w:r>
      <w:r w:rsidR="00356A0C">
        <w:rPr>
          <w:rFonts w:eastAsia="Calibri" w:cstheme="minorHAnsi"/>
          <w:color w:val="0563C1"/>
          <w:sz w:val="24"/>
          <w:szCs w:val="24"/>
          <w:u w:val="single"/>
        </w:rPr>
        <w:t>25</w:t>
      </w:r>
      <w:r w:rsidRPr="0041791D">
        <w:rPr>
          <w:rFonts w:eastAsia="Calibri" w:cstheme="minorHAnsi"/>
          <w:color w:val="0563C1"/>
          <w:sz w:val="24"/>
          <w:szCs w:val="24"/>
          <w:u w:val="single"/>
        </w:rPr>
        <w:fldChar w:fldCharType="end"/>
      </w:r>
      <w:r w:rsidRPr="0041791D">
        <w:rPr>
          <w:rFonts w:eastAsia="Calibri" w:cstheme="minorHAnsi"/>
          <w:sz w:val="24"/>
          <w:szCs w:val="24"/>
        </w:rPr>
        <w:t xml:space="preserve">: </w:t>
      </w:r>
      <w:commentRangeEnd w:id="73"/>
      <w:r w:rsidRPr="0041791D">
        <w:rPr>
          <w:rStyle w:val="CommentReference"/>
          <w:rFonts w:cstheme="minorHAnsi"/>
          <w:sz w:val="24"/>
          <w:szCs w:val="24"/>
        </w:rPr>
        <w:commentReference w:id="73"/>
      </w:r>
      <w:r w:rsidRPr="0041791D">
        <w:rPr>
          <w:rFonts w:eastAsia="Calibri" w:cstheme="minorHAnsi"/>
          <w:sz w:val="24"/>
          <w:szCs w:val="24"/>
        </w:rPr>
        <w:t>The intake threshold defined in the 2000 Landfill Franchise Agreement and the Tonnage Cap defined in the 2020 Landfill Franchise Agreement were stipulated</w:t>
      </w:r>
      <w:commentRangeStart w:id="74"/>
      <w:commentRangeEnd w:id="74"/>
      <w:r w:rsidRPr="0041791D">
        <w:rPr>
          <w:rFonts w:eastAsia="Calibri" w:cstheme="minorHAnsi"/>
          <w:sz w:val="24"/>
          <w:szCs w:val="24"/>
        </w:rPr>
        <w:commentReference w:id="74"/>
      </w:r>
      <w:r w:rsidRPr="0041791D">
        <w:rPr>
          <w:rFonts w:eastAsia="Calibri" w:cstheme="minorHAnsi"/>
          <w:sz w:val="24"/>
          <w:szCs w:val="24"/>
        </w:rPr>
        <w:t xml:space="preserve"> as contractual provisions, with consequences explicitly defined in the 2000 agreement and implicit (violation of contract) consequences in the 2020 agreement.</w:t>
      </w:r>
    </w:p>
    <w:p w14:paraId="0C6C43E5" w14:textId="77777777" w:rsidR="006F646F" w:rsidRPr="0041791D" w:rsidRDefault="006F646F" w:rsidP="006F646F">
      <w:pPr>
        <w:spacing w:after="240" w:line="240" w:lineRule="auto"/>
        <w:ind w:left="720"/>
        <w:contextualSpacing/>
        <w:rPr>
          <w:rFonts w:eastAsia="Calibri" w:cstheme="minorHAnsi"/>
          <w:iCs/>
          <w:sz w:val="24"/>
          <w:szCs w:val="24"/>
        </w:rPr>
      </w:pPr>
    </w:p>
    <w:p w14:paraId="3075596C" w14:textId="10E48A81" w:rsidR="006F646F" w:rsidRPr="0041791D" w:rsidRDefault="00415FF3" w:rsidP="006F646F">
      <w:pPr>
        <w:spacing w:after="240" w:line="240" w:lineRule="auto"/>
        <w:contextualSpacing/>
        <w:rPr>
          <w:rFonts w:eastAsia="Calibri" w:cstheme="minorHAnsi"/>
          <w:iCs/>
          <w:sz w:val="24"/>
          <w:szCs w:val="24"/>
        </w:rPr>
      </w:pPr>
      <w:hyperlink w:anchor="_Intake_Volume" w:history="1">
        <w:r w:rsidR="006F646F" w:rsidRPr="0041791D">
          <w:rPr>
            <w:rStyle w:val="Hyperlink"/>
            <w:rFonts w:eastAsia="Calibri" w:cstheme="minorHAnsi"/>
            <w:sz w:val="24"/>
            <w:szCs w:val="24"/>
          </w:rPr>
          <w:t>LSCL-F-</w:t>
        </w:r>
        <w:r w:rsidR="00356A0C">
          <w:rPr>
            <w:rStyle w:val="Hyperlink"/>
            <w:rFonts w:eastAsia="Calibri" w:cstheme="minorHAnsi"/>
            <w:sz w:val="24"/>
            <w:szCs w:val="24"/>
          </w:rPr>
          <w:t>26</w:t>
        </w:r>
      </w:hyperlink>
      <w:r w:rsidR="006F646F" w:rsidRPr="0041791D">
        <w:rPr>
          <w:rFonts w:eastAsia="Calibri" w:cstheme="minorHAnsi"/>
          <w:sz w:val="24"/>
          <w:szCs w:val="24"/>
        </w:rPr>
        <w:t>: The 2020 Landfill Franchise Agreement defined a 2020 Tonnage Cap of 1.1 M Tons/year that the Landfill "shall not exceed." That includes 75,000 tons reserved annually for Benton County. The Tonnage Cap does not apply to fire, flood, natural disaster, or Force Majeure event materials.</w:t>
      </w:r>
    </w:p>
    <w:p w14:paraId="20F444AD" w14:textId="77777777" w:rsidR="006F646F" w:rsidRPr="0041791D" w:rsidRDefault="006F646F" w:rsidP="006F646F">
      <w:pPr>
        <w:spacing w:after="240" w:line="240" w:lineRule="auto"/>
        <w:contextualSpacing/>
        <w:rPr>
          <w:rFonts w:cstheme="minorHAnsi"/>
          <w:sz w:val="24"/>
          <w:szCs w:val="24"/>
        </w:rPr>
      </w:pPr>
    </w:p>
    <w:commentRangeStart w:id="75"/>
    <w:commentRangeStart w:id="76"/>
    <w:commentRangeStart w:id="77"/>
    <w:p w14:paraId="55FB5C6A" w14:textId="5BD57A80" w:rsidR="006F646F" w:rsidRPr="0041791D" w:rsidRDefault="006F646F" w:rsidP="006F646F">
      <w:pPr>
        <w:spacing w:after="240" w:line="240" w:lineRule="auto"/>
        <w:contextualSpacing/>
        <w:rPr>
          <w:rFonts w:eastAsia="Calibri" w:cstheme="minorHAnsi"/>
          <w:iCs/>
          <w:sz w:val="24"/>
          <w:szCs w:val="24"/>
        </w:rPr>
      </w:pPr>
      <w:r w:rsidRPr="0041791D">
        <w:rPr>
          <w:rFonts w:cstheme="minorHAnsi"/>
          <w:sz w:val="24"/>
          <w:szCs w:val="24"/>
        </w:rPr>
        <w:fldChar w:fldCharType="begin"/>
      </w:r>
      <w:r w:rsidRPr="0041791D">
        <w:rPr>
          <w:rFonts w:cstheme="minorHAnsi"/>
          <w:sz w:val="24"/>
          <w:szCs w:val="24"/>
        </w:rPr>
        <w:instrText>HYPERLINK \l "LSCL_F_16"</w:instrText>
      </w:r>
      <w:r w:rsidRPr="0041791D">
        <w:rPr>
          <w:rFonts w:cstheme="minorHAnsi"/>
          <w:sz w:val="24"/>
          <w:szCs w:val="24"/>
        </w:rPr>
      </w:r>
      <w:r w:rsidRPr="0041791D">
        <w:rPr>
          <w:rFonts w:cstheme="minorHAnsi"/>
          <w:sz w:val="24"/>
          <w:szCs w:val="24"/>
        </w:rPr>
        <w:fldChar w:fldCharType="separate"/>
      </w:r>
      <w:r w:rsidRPr="0041791D">
        <w:rPr>
          <w:rFonts w:eastAsia="Calibri" w:cstheme="minorHAnsi"/>
          <w:color w:val="0563C1"/>
          <w:sz w:val="24"/>
          <w:szCs w:val="24"/>
          <w:u w:val="single"/>
        </w:rPr>
        <w:t>LSCL-F-</w:t>
      </w:r>
      <w:r w:rsidR="00356A0C">
        <w:rPr>
          <w:rFonts w:eastAsia="Calibri" w:cstheme="minorHAnsi"/>
          <w:color w:val="0563C1"/>
          <w:sz w:val="24"/>
          <w:szCs w:val="24"/>
          <w:u w:val="single"/>
        </w:rPr>
        <w:t>27</w:t>
      </w:r>
      <w:r w:rsidRPr="0041791D">
        <w:rPr>
          <w:rFonts w:eastAsia="Calibri" w:cstheme="minorHAnsi"/>
          <w:color w:val="0563C1"/>
          <w:sz w:val="24"/>
          <w:szCs w:val="24"/>
          <w:u w:val="single"/>
        </w:rPr>
        <w:fldChar w:fldCharType="end"/>
      </w:r>
      <w:r w:rsidRPr="0041791D">
        <w:rPr>
          <w:rFonts w:eastAsia="Calibri" w:cstheme="minorHAnsi"/>
          <w:sz w:val="24"/>
          <w:szCs w:val="24"/>
        </w:rPr>
        <w:t xml:space="preserve">: </w:t>
      </w:r>
      <w:commentRangeEnd w:id="75"/>
      <w:r w:rsidRPr="0041791D">
        <w:rPr>
          <w:rStyle w:val="CommentReference"/>
          <w:rFonts w:cstheme="minorHAnsi"/>
          <w:sz w:val="24"/>
          <w:szCs w:val="24"/>
        </w:rPr>
        <w:commentReference w:id="75"/>
      </w:r>
      <w:commentRangeEnd w:id="76"/>
      <w:r>
        <w:rPr>
          <w:rStyle w:val="CommentReference"/>
          <w:rFonts w:ascii="Palatino Linotype" w:hAnsi="Palatino Linotype"/>
        </w:rPr>
        <w:commentReference w:id="76"/>
      </w:r>
      <w:commentRangeEnd w:id="77"/>
      <w:r>
        <w:rPr>
          <w:rStyle w:val="CommentReference"/>
          <w:rFonts w:ascii="Palatino Linotype" w:hAnsi="Palatino Linotype"/>
        </w:rPr>
        <w:commentReference w:id="77"/>
      </w:r>
      <w:r w:rsidRPr="0041791D">
        <w:rPr>
          <w:rFonts w:eastAsia="Calibri" w:cstheme="minorHAnsi"/>
          <w:sz w:val="24"/>
          <w:szCs w:val="24"/>
        </w:rPr>
        <w:t xml:space="preserve">The 2020 Landfill Franchise Agreement also includes a provision that the tonnage cap would be eliminated upon </w:t>
      </w:r>
      <w:r w:rsidR="004C12F4">
        <w:rPr>
          <w:rFonts w:eastAsia="Calibri" w:cstheme="minorHAnsi"/>
          <w:sz w:val="24"/>
          <w:szCs w:val="24"/>
        </w:rPr>
        <w:t>governmental approval of an</w:t>
      </w:r>
      <w:r w:rsidRPr="0041791D">
        <w:rPr>
          <w:rFonts w:eastAsia="Calibri" w:cstheme="minorHAnsi"/>
          <w:sz w:val="24"/>
          <w:szCs w:val="24"/>
        </w:rPr>
        <w:t xml:space="preserve"> application to “expand the landfill onto the Expansion Parcel.”</w:t>
      </w:r>
    </w:p>
    <w:p w14:paraId="271537DC" w14:textId="77777777" w:rsidR="006F646F" w:rsidRPr="0041791D" w:rsidRDefault="006F646F" w:rsidP="006F646F">
      <w:pPr>
        <w:ind w:left="720"/>
        <w:contextualSpacing/>
        <w:rPr>
          <w:rFonts w:eastAsia="Calibri" w:cstheme="minorHAnsi"/>
          <w:iCs/>
          <w:sz w:val="24"/>
          <w:szCs w:val="24"/>
        </w:rPr>
      </w:pPr>
    </w:p>
    <w:p w14:paraId="740CB53B" w14:textId="329E16B5" w:rsidR="006F646F" w:rsidRPr="00311020" w:rsidRDefault="00415FF3" w:rsidP="006F646F">
      <w:pPr>
        <w:spacing w:after="240" w:line="240" w:lineRule="auto"/>
        <w:contextualSpacing/>
        <w:rPr>
          <w:rFonts w:ascii="Calibri" w:eastAsia="Calibri" w:hAnsi="Calibri" w:cs="Calibri"/>
          <w:b/>
          <w:bCs/>
          <w:sz w:val="24"/>
          <w:szCs w:val="24"/>
        </w:rPr>
      </w:pPr>
      <w:hyperlink w:anchor="_Intake_Volume" w:history="1">
        <w:r w:rsidR="006F646F" w:rsidRPr="00356A0C">
          <w:rPr>
            <w:rStyle w:val="Hyperlink"/>
            <w:rFonts w:eastAsia="Calibri" w:cstheme="minorHAnsi"/>
            <w:sz w:val="24"/>
            <w:szCs w:val="24"/>
          </w:rPr>
          <w:t>LSCL-F-</w:t>
        </w:r>
        <w:r w:rsidR="00356A0C" w:rsidRPr="00356A0C">
          <w:rPr>
            <w:rStyle w:val="Hyperlink"/>
            <w:rFonts w:eastAsia="Calibri" w:cstheme="minorHAnsi"/>
            <w:sz w:val="24"/>
            <w:szCs w:val="24"/>
          </w:rPr>
          <w:t>28</w:t>
        </w:r>
      </w:hyperlink>
      <w:r w:rsidR="006F646F" w:rsidRPr="00356A0C">
        <w:rPr>
          <w:rFonts w:eastAsia="Calibri" w:cstheme="minorHAnsi"/>
          <w:sz w:val="24"/>
          <w:szCs w:val="24"/>
        </w:rPr>
        <w:t>:</w:t>
      </w:r>
      <w:r w:rsidR="006F646F" w:rsidRPr="0041791D">
        <w:rPr>
          <w:rFonts w:eastAsia="Calibri" w:cstheme="minorHAnsi"/>
          <w:sz w:val="24"/>
          <w:szCs w:val="24"/>
        </w:rPr>
        <w:t xml:space="preserve"> </w:t>
      </w:r>
      <w:r w:rsidR="006F646F" w:rsidRPr="00311020">
        <w:rPr>
          <w:rFonts w:ascii="Calibri" w:eastAsia="Calibri" w:hAnsi="Calibri" w:cs="Calibri"/>
          <w:sz w:val="24"/>
          <w:szCs w:val="24"/>
        </w:rPr>
        <w:t>It is unclear if the 2020 Franchise Agreement’s enforcement mechanisms are strong enough to prevent agreement violation or if the County will pursue the options at its disposal.</w:t>
      </w:r>
      <w:r w:rsidR="006F646F" w:rsidRPr="002E2CD6">
        <w:rPr>
          <w:rFonts w:ascii="Calibri" w:eastAsia="Calibri" w:hAnsi="Calibri" w:cs="Calibri"/>
          <w:sz w:val="24"/>
          <w:szCs w:val="24"/>
        </w:rPr>
        <w:t xml:space="preserve"> </w:t>
      </w:r>
      <w:commentRangeStart w:id="78"/>
      <w:commentRangeEnd w:id="78"/>
      <w:r w:rsidR="006F646F" w:rsidRPr="002E2CD6">
        <w:rPr>
          <w:rFonts w:ascii="Calibri" w:eastAsia="Calibri" w:hAnsi="Calibri" w:cs="Calibri"/>
          <w:sz w:val="24"/>
          <w:szCs w:val="24"/>
        </w:rPr>
        <w:commentReference w:id="78"/>
      </w:r>
      <w:r w:rsidR="006F646F" w:rsidRPr="002E2CD6">
        <w:rPr>
          <w:rFonts w:ascii="Calibri" w:eastAsia="Calibri" w:hAnsi="Calibri" w:cs="Calibri"/>
          <w:sz w:val="24"/>
          <w:szCs w:val="24"/>
        </w:rPr>
        <w:t xml:space="preserve"> </w:t>
      </w:r>
    </w:p>
    <w:p w14:paraId="26918F1F" w14:textId="41EAACC1" w:rsidR="006F646F" w:rsidRDefault="006F646F" w:rsidP="006F646F">
      <w:pPr>
        <w:spacing w:after="240" w:line="240" w:lineRule="auto"/>
        <w:contextualSpacing/>
        <w:rPr>
          <w:rFonts w:ascii="Calibri" w:eastAsia="Calibri" w:hAnsi="Calibri" w:cs="Calibri"/>
          <w:sz w:val="24"/>
          <w:szCs w:val="24"/>
        </w:rPr>
      </w:pPr>
    </w:p>
    <w:p w14:paraId="392C6750" w14:textId="77777777" w:rsidR="006F646F" w:rsidRPr="0041791D" w:rsidRDefault="006F646F" w:rsidP="006F646F">
      <w:pPr>
        <w:spacing w:after="240" w:line="240" w:lineRule="auto"/>
        <w:contextualSpacing/>
        <w:rPr>
          <w:rFonts w:eastAsia="Calibri" w:cstheme="minorHAnsi"/>
          <w:iCs/>
          <w:sz w:val="24"/>
          <w:szCs w:val="24"/>
        </w:rPr>
      </w:pPr>
    </w:p>
    <w:p w14:paraId="778433BD" w14:textId="50DE34AE" w:rsidR="006F646F" w:rsidRPr="0041791D" w:rsidRDefault="00415FF3" w:rsidP="006F646F">
      <w:pPr>
        <w:spacing w:after="240" w:line="240" w:lineRule="auto"/>
        <w:rPr>
          <w:rFonts w:eastAsia="Calibri" w:cstheme="minorHAnsi"/>
          <w:sz w:val="24"/>
          <w:szCs w:val="24"/>
        </w:rPr>
      </w:pPr>
      <w:hyperlink w:anchor="_Intake_Volume" w:history="1">
        <w:r w:rsidR="006F646F" w:rsidRPr="0041791D">
          <w:rPr>
            <w:rFonts w:eastAsia="Calibri" w:cstheme="minorHAnsi"/>
            <w:color w:val="0563C1"/>
            <w:sz w:val="24"/>
            <w:szCs w:val="24"/>
            <w:u w:val="single"/>
          </w:rPr>
          <w:t>LSCL-F-</w:t>
        </w:r>
        <w:r w:rsidR="00356A0C">
          <w:rPr>
            <w:rFonts w:eastAsia="Calibri" w:cstheme="minorHAnsi"/>
            <w:color w:val="0563C1"/>
            <w:sz w:val="24"/>
            <w:szCs w:val="24"/>
            <w:u w:val="single"/>
          </w:rPr>
          <w:t>29</w:t>
        </w:r>
      </w:hyperlink>
      <w:r w:rsidR="006F646F" w:rsidRPr="0041791D">
        <w:rPr>
          <w:rFonts w:eastAsia="Calibri" w:cstheme="minorHAnsi"/>
          <w:sz w:val="24"/>
          <w:szCs w:val="24"/>
        </w:rPr>
        <w:t>: The landfill operator generally chooses how much tonnage to accept, based on demand and their contracts with various jurisdictions and haulers. Some of the increasing tonnage accepted at the landfill from 1993-2021 reflect the increase in business development.</w:t>
      </w:r>
    </w:p>
    <w:p w14:paraId="25C1C509" w14:textId="0D174A54" w:rsidR="006F646F" w:rsidRPr="0041791D" w:rsidRDefault="00415FF3" w:rsidP="006F646F">
      <w:pPr>
        <w:spacing w:after="240" w:line="240" w:lineRule="auto"/>
        <w:rPr>
          <w:rFonts w:eastAsia="Calibri" w:cstheme="minorHAnsi"/>
          <w:iCs/>
          <w:sz w:val="24"/>
          <w:szCs w:val="24"/>
        </w:rPr>
      </w:pPr>
      <w:hyperlink w:anchor="_Intake_Volume" w:history="1">
        <w:r w:rsidR="006F646F" w:rsidRPr="0041791D">
          <w:rPr>
            <w:rFonts w:eastAsia="Calibri" w:cstheme="minorHAnsi"/>
            <w:color w:val="0563C1"/>
            <w:sz w:val="24"/>
            <w:szCs w:val="24"/>
            <w:u w:val="single"/>
          </w:rPr>
          <w:t>LSCL-F-</w:t>
        </w:r>
        <w:r w:rsidR="00356A0C">
          <w:rPr>
            <w:rFonts w:eastAsia="Calibri" w:cstheme="minorHAnsi"/>
            <w:color w:val="0563C1"/>
            <w:sz w:val="24"/>
            <w:szCs w:val="24"/>
            <w:u w:val="single"/>
          </w:rPr>
          <w:t>30</w:t>
        </w:r>
      </w:hyperlink>
      <w:r w:rsidR="006F646F" w:rsidRPr="0041791D">
        <w:rPr>
          <w:rFonts w:eastAsia="Calibri" w:cstheme="minorHAnsi"/>
          <w:sz w:val="24"/>
          <w:szCs w:val="24"/>
        </w:rPr>
        <w:t>: The slow downward trend in intake volume in the 2006-2010 period is explained by the franchisee as resulting from the economic downturn of 2008.</w:t>
      </w:r>
    </w:p>
    <w:p w14:paraId="15B0A8FD" w14:textId="45FAC5F5" w:rsidR="006F646F" w:rsidRDefault="00415FF3" w:rsidP="006F646F">
      <w:pPr>
        <w:spacing w:after="0" w:line="240" w:lineRule="auto"/>
        <w:rPr>
          <w:rFonts w:ascii="Times New Roman" w:hAnsi="Times New Roman" w:cs="Times New Roman"/>
          <w:sz w:val="24"/>
          <w:szCs w:val="24"/>
        </w:rPr>
      </w:pPr>
      <w:hyperlink w:anchor="_Intake_Volume" w:history="1">
        <w:r w:rsidR="006F646F" w:rsidRPr="0041791D">
          <w:rPr>
            <w:rFonts w:eastAsia="Calibri" w:cstheme="minorHAnsi"/>
            <w:color w:val="0563C1"/>
            <w:sz w:val="24"/>
            <w:szCs w:val="24"/>
            <w:u w:val="single"/>
          </w:rPr>
          <w:t>LSCL-F-</w:t>
        </w:r>
        <w:r w:rsidR="00356A0C">
          <w:rPr>
            <w:rFonts w:eastAsia="Calibri" w:cstheme="minorHAnsi"/>
            <w:color w:val="0563C1"/>
            <w:sz w:val="24"/>
            <w:szCs w:val="24"/>
            <w:u w:val="single"/>
          </w:rPr>
          <w:t>31</w:t>
        </w:r>
      </w:hyperlink>
      <w:r w:rsidR="006F646F" w:rsidRPr="0041791D">
        <w:rPr>
          <w:rFonts w:eastAsia="Calibri" w:cstheme="minorHAnsi"/>
          <w:sz w:val="24"/>
          <w:szCs w:val="24"/>
        </w:rPr>
        <w:t xml:space="preserve">: Republic Services states that the drop in volumes to Coffin Butte in 2020 is due to the global COVID-19 pandemic, coupled with diversion of tonnage from Riverbend Landfill to other landfills besides Coffin Butte. </w:t>
      </w:r>
      <w:commentRangeStart w:id="79"/>
      <w:commentRangeStart w:id="80"/>
      <w:r w:rsidR="006F646F">
        <w:rPr>
          <w:rFonts w:eastAsia="Calibri" w:cstheme="minorHAnsi"/>
          <w:sz w:val="24"/>
          <w:szCs w:val="24"/>
        </w:rPr>
        <w:t xml:space="preserve">However, tonnage volumes increased again in 2021 due in part to changes in lifestyle/development/at home shopping patterns </w:t>
      </w:r>
      <w:proofErr w:type="gramStart"/>
      <w:r w:rsidR="006F646F">
        <w:rPr>
          <w:rFonts w:eastAsia="Calibri" w:cstheme="minorHAnsi"/>
          <w:sz w:val="24"/>
          <w:szCs w:val="24"/>
        </w:rPr>
        <w:t>as a result of</w:t>
      </w:r>
      <w:proofErr w:type="gramEnd"/>
      <w:r w:rsidR="006F646F">
        <w:rPr>
          <w:rFonts w:eastAsia="Calibri" w:cstheme="minorHAnsi"/>
          <w:sz w:val="24"/>
          <w:szCs w:val="24"/>
        </w:rPr>
        <w:t xml:space="preserve"> the pandemic, as well as debris from the Oregon wildfires.</w:t>
      </w:r>
      <w:commentRangeEnd w:id="79"/>
      <w:r w:rsidR="006F646F">
        <w:rPr>
          <w:rStyle w:val="CommentReference"/>
          <w:rFonts w:eastAsia="Calibri" w:cstheme="minorHAnsi"/>
          <w:sz w:val="24"/>
          <w:szCs w:val="24"/>
        </w:rPr>
        <w:commentReference w:id="79"/>
      </w:r>
      <w:commentRangeEnd w:id="80"/>
      <w:r w:rsidR="006F646F">
        <w:rPr>
          <w:rStyle w:val="CommentReference"/>
          <w:rFonts w:ascii="Palatino Linotype" w:hAnsi="Palatino Linotype"/>
        </w:rPr>
        <w:commentReference w:id="80"/>
      </w:r>
      <w:r w:rsidR="006F646F">
        <w:rPr>
          <w:rFonts w:ascii="Times New Roman" w:hAnsi="Times New Roman" w:cs="Times New Roman"/>
          <w:sz w:val="24"/>
          <w:szCs w:val="24"/>
        </w:rPr>
        <w:t xml:space="preserve"> </w:t>
      </w:r>
    </w:p>
    <w:p w14:paraId="354FA6A9" w14:textId="77777777" w:rsidR="006F646F" w:rsidRDefault="006F646F" w:rsidP="006F646F">
      <w:pPr>
        <w:contextualSpacing/>
        <w:rPr>
          <w:rFonts w:eastAsia="Calibri" w:cstheme="minorHAnsi"/>
          <w:sz w:val="24"/>
          <w:szCs w:val="24"/>
        </w:rPr>
      </w:pPr>
    </w:p>
    <w:p w14:paraId="4BB97670" w14:textId="35FBED9E" w:rsidR="006F646F" w:rsidRPr="0041791D" w:rsidRDefault="00415FF3" w:rsidP="006F646F">
      <w:pPr>
        <w:rPr>
          <w:rFonts w:eastAsia="Calibri" w:cstheme="minorHAnsi"/>
          <w:sz w:val="24"/>
          <w:szCs w:val="24"/>
        </w:rPr>
      </w:pPr>
      <w:hyperlink w:anchor="_Intake_Volume" w:history="1">
        <w:r w:rsidR="006F646F" w:rsidRPr="0041791D">
          <w:rPr>
            <w:rStyle w:val="Hyperlink"/>
            <w:rFonts w:eastAsia="Calibri" w:cstheme="minorHAnsi"/>
            <w:sz w:val="24"/>
            <w:szCs w:val="24"/>
          </w:rPr>
          <w:t>LSCL-F-</w:t>
        </w:r>
        <w:r w:rsidR="00356A0C">
          <w:rPr>
            <w:rStyle w:val="Hyperlink"/>
            <w:rFonts w:eastAsia="Calibri" w:cstheme="minorHAnsi"/>
            <w:sz w:val="24"/>
            <w:szCs w:val="24"/>
          </w:rPr>
          <w:t>32</w:t>
        </w:r>
      </w:hyperlink>
      <w:r w:rsidR="006F646F" w:rsidRPr="0041791D">
        <w:rPr>
          <w:rFonts w:eastAsia="Calibri" w:cstheme="minorHAnsi"/>
          <w:sz w:val="24"/>
          <w:szCs w:val="24"/>
        </w:rPr>
        <w:t xml:space="preserve">: A range of human factors have been seen to influence the landfill’s intake rate and therefore its operating life in the past. These include business factors such as expansions or contractions of the Service Area, social factors such as recessions and population growth, and environmental factors such as recycling and other initiatives that divert materials out of the </w:t>
      </w:r>
      <w:proofErr w:type="spellStart"/>
      <w:r w:rsidR="006F646F" w:rsidRPr="0041791D">
        <w:rPr>
          <w:rFonts w:eastAsia="Calibri" w:cstheme="minorHAnsi"/>
          <w:sz w:val="24"/>
          <w:szCs w:val="24"/>
        </w:rPr>
        <w:t>wastestream</w:t>
      </w:r>
      <w:proofErr w:type="spellEnd"/>
      <w:r w:rsidR="006F646F">
        <w:rPr>
          <w:rFonts w:eastAsia="Calibri" w:cstheme="minorHAnsi"/>
          <w:sz w:val="24"/>
          <w:szCs w:val="24"/>
        </w:rPr>
        <w:t>.</w:t>
      </w:r>
      <w:commentRangeStart w:id="81"/>
      <w:commentRangeStart w:id="82"/>
      <w:commentRangeStart w:id="83"/>
      <w:commentRangeEnd w:id="81"/>
      <w:r w:rsidR="006F646F">
        <w:rPr>
          <w:rStyle w:val="CommentReference"/>
          <w:rFonts w:cstheme="minorHAnsi"/>
          <w:sz w:val="24"/>
          <w:szCs w:val="24"/>
        </w:rPr>
        <w:commentReference w:id="81"/>
      </w:r>
      <w:commentRangeEnd w:id="82"/>
      <w:r w:rsidR="006F646F">
        <w:rPr>
          <w:rStyle w:val="CommentReference"/>
        </w:rPr>
        <w:commentReference w:id="82"/>
      </w:r>
      <w:commentRangeEnd w:id="83"/>
      <w:r w:rsidR="006F646F">
        <w:rPr>
          <w:rStyle w:val="CommentReference"/>
          <w:rFonts w:ascii="Palatino Linotype" w:hAnsi="Palatino Linotype"/>
        </w:rPr>
        <w:commentReference w:id="83"/>
      </w:r>
    </w:p>
    <w:p w14:paraId="250186BF" w14:textId="37AB8781" w:rsidR="006F646F" w:rsidRPr="0041791D" w:rsidRDefault="00415FF3" w:rsidP="006F646F">
      <w:pPr>
        <w:contextualSpacing/>
        <w:rPr>
          <w:rFonts w:eastAsia="Calibri" w:cstheme="minorHAnsi"/>
          <w:sz w:val="24"/>
          <w:szCs w:val="24"/>
        </w:rPr>
      </w:pPr>
      <w:hyperlink w:anchor="_Events_and_Factors" w:history="1">
        <w:r w:rsidR="006F646F" w:rsidRPr="0041791D">
          <w:rPr>
            <w:rStyle w:val="Hyperlink"/>
            <w:rFonts w:eastAsia="Calibri" w:cstheme="minorHAnsi"/>
            <w:sz w:val="24"/>
            <w:szCs w:val="24"/>
          </w:rPr>
          <w:t>LSCL-F-</w:t>
        </w:r>
        <w:r w:rsidR="00356A0C">
          <w:rPr>
            <w:rStyle w:val="Hyperlink"/>
            <w:rFonts w:eastAsia="Calibri" w:cstheme="minorHAnsi"/>
            <w:sz w:val="24"/>
            <w:szCs w:val="24"/>
          </w:rPr>
          <w:t>33</w:t>
        </w:r>
      </w:hyperlink>
      <w:r w:rsidR="006F646F" w:rsidRPr="0041791D">
        <w:rPr>
          <w:rFonts w:eastAsia="Calibri" w:cstheme="minorHAnsi"/>
          <w:sz w:val="24"/>
          <w:szCs w:val="24"/>
        </w:rPr>
        <w:t xml:space="preserve">: More human factors are emerging that </w:t>
      </w:r>
      <w:r w:rsidR="006F646F">
        <w:rPr>
          <w:rFonts w:eastAsia="Calibri" w:cstheme="minorHAnsi"/>
          <w:sz w:val="24"/>
          <w:szCs w:val="24"/>
        </w:rPr>
        <w:t>could</w:t>
      </w:r>
      <w:r w:rsidR="006F646F" w:rsidRPr="0041791D">
        <w:rPr>
          <w:rFonts w:eastAsia="Calibri" w:cstheme="minorHAnsi"/>
          <w:sz w:val="24"/>
          <w:szCs w:val="24"/>
        </w:rPr>
        <w:t xml:space="preserve"> influence the landfill’s intake rate and therefore its operating life in the future. These include newly enacted state legislation assigning responsibility for disposal costs to the producers of waste material, newly enacted national legislation addressing food waste, and national legislation being rolled out that </w:t>
      </w:r>
      <w:proofErr w:type="gramStart"/>
      <w:r w:rsidR="006F646F" w:rsidRPr="0041791D">
        <w:rPr>
          <w:rFonts w:eastAsia="Calibri" w:cstheme="minorHAnsi"/>
          <w:sz w:val="24"/>
          <w:szCs w:val="24"/>
        </w:rPr>
        <w:t>targets</w:t>
      </w:r>
      <w:proofErr w:type="gramEnd"/>
      <w:r w:rsidR="006F646F" w:rsidRPr="0041791D">
        <w:rPr>
          <w:rFonts w:eastAsia="Calibri" w:cstheme="minorHAnsi"/>
          <w:sz w:val="24"/>
          <w:szCs w:val="24"/>
        </w:rPr>
        <w:t xml:space="preserve"> methane and other greenhouse gas pollution.</w:t>
      </w:r>
    </w:p>
    <w:p w14:paraId="469B21FB" w14:textId="77777777" w:rsidR="006F646F" w:rsidRPr="0041791D" w:rsidRDefault="006F646F" w:rsidP="006F646F">
      <w:pPr>
        <w:contextualSpacing/>
        <w:rPr>
          <w:rFonts w:eastAsia="Calibri" w:cstheme="minorHAnsi"/>
          <w:sz w:val="24"/>
          <w:szCs w:val="24"/>
        </w:rPr>
      </w:pPr>
    </w:p>
    <w:commentRangeStart w:id="84"/>
    <w:p w14:paraId="487376CB" w14:textId="58B24AD4" w:rsidR="006F646F" w:rsidRPr="0041791D" w:rsidRDefault="006F646F" w:rsidP="006F646F">
      <w:pPr>
        <w:spacing w:after="240" w:line="240" w:lineRule="auto"/>
        <w:contextualSpacing/>
        <w:rPr>
          <w:rFonts w:eastAsia="Calibri" w:cstheme="minorHAnsi"/>
          <w:iCs/>
          <w:sz w:val="24"/>
          <w:szCs w:val="24"/>
        </w:rPr>
      </w:pPr>
      <w:r w:rsidRPr="0041791D">
        <w:rPr>
          <w:rFonts w:cstheme="minorHAnsi"/>
          <w:sz w:val="24"/>
          <w:szCs w:val="24"/>
        </w:rPr>
        <w:fldChar w:fldCharType="begin"/>
      </w:r>
      <w:r w:rsidRPr="0041791D">
        <w:rPr>
          <w:rFonts w:cstheme="minorHAnsi"/>
          <w:sz w:val="24"/>
          <w:szCs w:val="24"/>
        </w:rPr>
        <w:instrText>HYPERLINK  \l "_Intake_Volume"</w:instrText>
      </w:r>
      <w:r w:rsidRPr="0041791D">
        <w:rPr>
          <w:rFonts w:cstheme="minorHAnsi"/>
          <w:sz w:val="24"/>
          <w:szCs w:val="24"/>
        </w:rPr>
      </w:r>
      <w:r w:rsidRPr="0041791D">
        <w:rPr>
          <w:rFonts w:cstheme="minorHAnsi"/>
          <w:sz w:val="24"/>
          <w:szCs w:val="24"/>
        </w:rPr>
        <w:fldChar w:fldCharType="separate"/>
      </w:r>
      <w:r w:rsidRPr="0041791D">
        <w:rPr>
          <w:rFonts w:eastAsia="Calibri" w:cstheme="minorHAnsi"/>
          <w:color w:val="0563C1"/>
          <w:sz w:val="24"/>
          <w:szCs w:val="24"/>
          <w:u w:val="single"/>
        </w:rPr>
        <w:t>LSCL-F-</w:t>
      </w:r>
      <w:r w:rsidR="00356A0C">
        <w:rPr>
          <w:rFonts w:eastAsia="Calibri" w:cstheme="minorHAnsi"/>
          <w:color w:val="0563C1"/>
          <w:sz w:val="24"/>
          <w:szCs w:val="24"/>
          <w:u w:val="single"/>
        </w:rPr>
        <w:t>34</w:t>
      </w:r>
      <w:r w:rsidRPr="0041791D">
        <w:rPr>
          <w:rFonts w:eastAsia="Calibri" w:cstheme="minorHAnsi"/>
          <w:color w:val="0563C1"/>
          <w:sz w:val="24"/>
          <w:szCs w:val="24"/>
          <w:u w:val="single"/>
        </w:rPr>
        <w:fldChar w:fldCharType="end"/>
      </w:r>
      <w:r w:rsidRPr="0041791D">
        <w:rPr>
          <w:rFonts w:eastAsia="Calibri" w:cstheme="minorHAnsi"/>
          <w:sz w:val="24"/>
          <w:szCs w:val="24"/>
        </w:rPr>
        <w:t xml:space="preserve">: </w:t>
      </w:r>
      <w:commentRangeEnd w:id="84"/>
      <w:r w:rsidRPr="0041791D">
        <w:rPr>
          <w:rStyle w:val="CommentReference"/>
          <w:rFonts w:cstheme="minorHAnsi"/>
          <w:sz w:val="24"/>
          <w:szCs w:val="24"/>
        </w:rPr>
        <w:commentReference w:id="84"/>
      </w:r>
      <w:r w:rsidRPr="0041791D">
        <w:rPr>
          <w:rFonts w:eastAsia="Calibri" w:cstheme="minorHAnsi"/>
          <w:sz w:val="24"/>
          <w:szCs w:val="24"/>
        </w:rPr>
        <w:t>A 2016 MOU between Benton County and Republic Services acknowledged “Coffin Butte Landfill will be accepting municipal solid waste currently being delivered to Waste Management’s Riverbend Landfill for a term of 1-2 years, beginning in January of 2017.”</w:t>
      </w:r>
      <w:r w:rsidRPr="0041791D">
        <w:rPr>
          <w:rFonts w:eastAsia="Calibri" w:cstheme="minorHAnsi"/>
          <w:iCs/>
          <w:sz w:val="24"/>
          <w:szCs w:val="24"/>
        </w:rPr>
        <w:t xml:space="preserve">  </w:t>
      </w:r>
    </w:p>
    <w:p w14:paraId="10A13712" w14:textId="77777777" w:rsidR="006F646F" w:rsidRPr="0041791D" w:rsidRDefault="006F646F" w:rsidP="006F646F">
      <w:pPr>
        <w:spacing w:after="240" w:line="240" w:lineRule="auto"/>
        <w:contextualSpacing/>
        <w:rPr>
          <w:rFonts w:eastAsia="Calibri" w:cstheme="minorHAnsi"/>
          <w:iCs/>
          <w:sz w:val="24"/>
          <w:szCs w:val="24"/>
        </w:rPr>
      </w:pPr>
    </w:p>
    <w:p w14:paraId="13CA618B" w14:textId="4F3604E7" w:rsidR="006F646F" w:rsidRPr="0041791D" w:rsidRDefault="00415FF3" w:rsidP="006F646F">
      <w:pPr>
        <w:spacing w:after="240" w:line="240" w:lineRule="auto"/>
        <w:contextualSpacing/>
        <w:rPr>
          <w:rFonts w:eastAsia="Calibri" w:cstheme="minorHAnsi"/>
          <w:sz w:val="24"/>
          <w:szCs w:val="24"/>
        </w:rPr>
      </w:pPr>
      <w:hyperlink w:anchor="_Intake_Volume" w:history="1">
        <w:r w:rsidR="006F646F" w:rsidRPr="0041791D">
          <w:rPr>
            <w:rStyle w:val="Hyperlink"/>
            <w:rFonts w:eastAsia="Calibri" w:cstheme="minorHAnsi"/>
            <w:sz w:val="24"/>
            <w:szCs w:val="24"/>
          </w:rPr>
          <w:t>LSCL-F-</w:t>
        </w:r>
        <w:r w:rsidR="00356A0C">
          <w:rPr>
            <w:rStyle w:val="Hyperlink"/>
            <w:rFonts w:eastAsia="Calibri" w:cstheme="minorHAnsi"/>
            <w:sz w:val="24"/>
            <w:szCs w:val="24"/>
          </w:rPr>
          <w:t>35</w:t>
        </w:r>
      </w:hyperlink>
      <w:r w:rsidR="006F646F" w:rsidRPr="0041791D">
        <w:rPr>
          <w:rFonts w:eastAsia="Calibri" w:cstheme="minorHAnsi"/>
          <w:sz w:val="24"/>
          <w:szCs w:val="24"/>
        </w:rPr>
        <w:t xml:space="preserve">: </w:t>
      </w:r>
      <w:r w:rsidR="006F646F" w:rsidRPr="0041791D">
        <w:rPr>
          <w:rFonts w:eastAsia="Calibri" w:cstheme="minorHAnsi"/>
          <w:iCs/>
          <w:sz w:val="24"/>
          <w:szCs w:val="24"/>
        </w:rPr>
        <w:t>The 2016 MOU</w:t>
      </w:r>
      <w:r w:rsidR="006F646F" w:rsidRPr="0041791D">
        <w:rPr>
          <w:rFonts w:eastAsia="Calibri" w:cstheme="minorHAnsi"/>
          <w:sz w:val="24"/>
          <w:szCs w:val="24"/>
        </w:rPr>
        <w:t xml:space="preserve"> does not </w:t>
      </w:r>
      <w:r w:rsidR="006F646F" w:rsidRPr="0041791D">
        <w:rPr>
          <w:rFonts w:eastAsia="Calibri" w:cstheme="minorHAnsi"/>
          <w:iCs/>
          <w:sz w:val="24"/>
          <w:szCs w:val="24"/>
        </w:rPr>
        <w:t>contain language preventing</w:t>
      </w:r>
      <w:r w:rsidR="006F646F" w:rsidRPr="0041791D">
        <w:rPr>
          <w:rFonts w:eastAsia="Calibri" w:cstheme="minorHAnsi"/>
          <w:sz w:val="24"/>
          <w:szCs w:val="24"/>
        </w:rPr>
        <w:t xml:space="preserve"> Benton County from exercising its rights under the 2000 Landfill Franchise Agreement (see Recommendations).</w:t>
      </w:r>
    </w:p>
    <w:p w14:paraId="560CC738" w14:textId="77777777" w:rsidR="006F646F" w:rsidRPr="0041791D" w:rsidRDefault="006F646F" w:rsidP="006F646F">
      <w:pPr>
        <w:spacing w:after="240" w:line="240" w:lineRule="auto"/>
        <w:ind w:left="720"/>
        <w:contextualSpacing/>
        <w:rPr>
          <w:rFonts w:eastAsia="Calibri" w:cstheme="minorHAnsi"/>
          <w:iCs/>
          <w:sz w:val="24"/>
          <w:szCs w:val="24"/>
        </w:rPr>
      </w:pPr>
    </w:p>
    <w:p w14:paraId="43439240" w14:textId="77777777" w:rsidR="006F646F" w:rsidRPr="0041791D" w:rsidRDefault="006F646F" w:rsidP="006F646F">
      <w:pPr>
        <w:spacing w:after="240" w:line="240" w:lineRule="auto"/>
        <w:ind w:left="720"/>
        <w:contextualSpacing/>
        <w:rPr>
          <w:rFonts w:eastAsia="Calibri" w:cstheme="minorHAnsi"/>
          <w:iCs/>
          <w:strike/>
          <w:sz w:val="24"/>
          <w:szCs w:val="24"/>
        </w:rPr>
      </w:pPr>
    </w:p>
    <w:p w14:paraId="124E721A" w14:textId="77777777" w:rsidR="006F646F" w:rsidRPr="0041791D" w:rsidRDefault="006F646F" w:rsidP="006F646F">
      <w:pPr>
        <w:spacing w:after="240" w:line="240" w:lineRule="auto"/>
        <w:rPr>
          <w:rFonts w:eastAsia="Calibri" w:cstheme="minorHAnsi"/>
          <w:b/>
          <w:sz w:val="24"/>
          <w:szCs w:val="24"/>
          <w:u w:val="single"/>
        </w:rPr>
      </w:pPr>
      <w:r w:rsidRPr="0041791D">
        <w:rPr>
          <w:rFonts w:eastAsia="Calibri" w:cstheme="minorHAnsi"/>
          <w:b/>
          <w:sz w:val="24"/>
          <w:szCs w:val="24"/>
          <w:u w:val="single"/>
        </w:rPr>
        <w:t>Specific Locations</w:t>
      </w:r>
    </w:p>
    <w:p w14:paraId="667C028B" w14:textId="0FB0D68B" w:rsidR="006F646F" w:rsidRPr="00937D3B" w:rsidRDefault="00415FF3" w:rsidP="006F646F">
      <w:pPr>
        <w:spacing w:after="0" w:line="240" w:lineRule="auto"/>
        <w:rPr>
          <w:rFonts w:ascii="Times New Roman" w:hAnsi="Times New Roman" w:cs="Times New Roman"/>
          <w:sz w:val="24"/>
          <w:szCs w:val="24"/>
        </w:rPr>
      </w:pPr>
      <w:hyperlink w:anchor="_Cell_6_(Quarry)" w:history="1">
        <w:r w:rsidR="006F646F" w:rsidRPr="0041791D">
          <w:rPr>
            <w:rStyle w:val="Hyperlink"/>
            <w:rFonts w:eastAsia="Calibri" w:cstheme="minorHAnsi"/>
            <w:sz w:val="24"/>
            <w:szCs w:val="24"/>
          </w:rPr>
          <w:t>LSCL-F-</w:t>
        </w:r>
        <w:r w:rsidR="00356A0C">
          <w:rPr>
            <w:rStyle w:val="Hyperlink"/>
            <w:rFonts w:eastAsia="Calibri" w:cstheme="minorHAnsi"/>
            <w:sz w:val="24"/>
            <w:szCs w:val="24"/>
          </w:rPr>
          <w:t>36</w:t>
        </w:r>
      </w:hyperlink>
      <w:r w:rsidR="006F646F" w:rsidRPr="0041791D">
        <w:rPr>
          <w:rFonts w:eastAsia="Calibri" w:cstheme="minorHAnsi"/>
          <w:sz w:val="24"/>
          <w:szCs w:val="24"/>
        </w:rPr>
        <w:t xml:space="preserve"> : </w:t>
      </w:r>
      <w:r w:rsidR="006F646F" w:rsidRPr="0041791D">
        <w:rPr>
          <w:rFonts w:eastAsia="Calibri" w:cstheme="minorHAnsi"/>
          <w:iCs/>
          <w:sz w:val="24"/>
          <w:szCs w:val="24"/>
        </w:rPr>
        <w:t xml:space="preserve">Valley Landfills Inc. anticipates it will no longer be able to place waste in Cell 5 by mid-year 2025. </w:t>
      </w:r>
      <w:r w:rsidR="006F646F" w:rsidRPr="0041791D">
        <w:rPr>
          <w:rFonts w:eastAsia="Calibri" w:cstheme="minorHAnsi"/>
          <w:sz w:val="24"/>
          <w:szCs w:val="24"/>
        </w:rPr>
        <w:t xml:space="preserve">When Cell 5 is full, </w:t>
      </w:r>
      <w:r w:rsidR="006F646F" w:rsidRPr="0007732C">
        <w:rPr>
          <w:rFonts w:eastAsia="Calibri" w:cstheme="minorHAnsi"/>
          <w:sz w:val="24"/>
          <w:szCs w:val="24"/>
        </w:rPr>
        <w:t>Republic Services</w:t>
      </w:r>
      <w:r w:rsidR="006F646F" w:rsidRPr="0041791D">
        <w:rPr>
          <w:rFonts w:eastAsia="Calibri" w:cstheme="minorHAnsi"/>
          <w:sz w:val="24"/>
          <w:szCs w:val="24"/>
        </w:rPr>
        <w:t xml:space="preserve"> is working on a plan to deposit waste in the permitted area of the landfill known as the quarry known as Cell 6.</w:t>
      </w:r>
      <w:r w:rsidR="006F646F" w:rsidRPr="0041791D">
        <w:rPr>
          <w:rFonts w:eastAsia="Calibri" w:cstheme="minorHAnsi"/>
          <w:iCs/>
          <w:sz w:val="24"/>
          <w:szCs w:val="24"/>
        </w:rPr>
        <w:t xml:space="preserve"> Excavation of the primary quarry footprint is scheduled to begin in Spring of 2023 with completion in Spring 2025.</w:t>
      </w:r>
    </w:p>
    <w:p w14:paraId="3E7A8A0E" w14:textId="0B98FB10" w:rsidR="006F646F" w:rsidRPr="0041791D" w:rsidRDefault="00415FF3" w:rsidP="006F646F">
      <w:pPr>
        <w:spacing w:after="240" w:line="240" w:lineRule="auto"/>
        <w:contextualSpacing/>
        <w:rPr>
          <w:rFonts w:eastAsia="Calibri" w:cstheme="minorHAnsi"/>
          <w:sz w:val="24"/>
          <w:szCs w:val="24"/>
        </w:rPr>
      </w:pPr>
      <w:hyperlink w:anchor="_1983__Rezoning" w:history="1">
        <w:r w:rsidR="006F646F" w:rsidRPr="0041791D">
          <w:rPr>
            <w:rFonts w:eastAsia="Calibri" w:cstheme="minorHAnsi"/>
            <w:color w:val="0563C1"/>
            <w:sz w:val="24"/>
            <w:szCs w:val="24"/>
            <w:u w:val="single"/>
          </w:rPr>
          <w:t>LSCL-F-</w:t>
        </w:r>
        <w:r w:rsidR="00356A0C">
          <w:rPr>
            <w:rFonts w:eastAsia="Calibri" w:cstheme="minorHAnsi"/>
            <w:color w:val="0563C1"/>
            <w:sz w:val="24"/>
            <w:szCs w:val="24"/>
            <w:u w:val="single"/>
          </w:rPr>
          <w:t>37</w:t>
        </w:r>
      </w:hyperlink>
      <w:r w:rsidR="006F646F" w:rsidRPr="0041791D">
        <w:rPr>
          <w:rFonts w:eastAsia="Calibri" w:cstheme="minorHAnsi"/>
          <w:sz w:val="24"/>
          <w:szCs w:val="24"/>
        </w:rPr>
        <w:t>: Approval of the 1983 rezoning was recommended by SWAC and CAC with on the condition that “No landfill be allowed on property south of Coffin Butte Road.”</w:t>
      </w:r>
    </w:p>
    <w:p w14:paraId="7E0F02B7" w14:textId="77777777" w:rsidR="006F646F" w:rsidRPr="0041791D" w:rsidRDefault="006F646F" w:rsidP="006F646F">
      <w:pPr>
        <w:spacing w:after="240" w:line="240" w:lineRule="auto"/>
        <w:contextualSpacing/>
        <w:rPr>
          <w:rFonts w:cstheme="minorHAnsi"/>
          <w:sz w:val="24"/>
          <w:szCs w:val="24"/>
        </w:rPr>
      </w:pPr>
    </w:p>
    <w:commentRangeStart w:id="85"/>
    <w:p w14:paraId="20E81933" w14:textId="49898F48" w:rsidR="006F646F" w:rsidRPr="0041791D" w:rsidRDefault="006F646F" w:rsidP="006F646F">
      <w:pPr>
        <w:spacing w:after="240" w:line="240" w:lineRule="auto"/>
        <w:contextualSpacing/>
        <w:rPr>
          <w:rFonts w:eastAsia="Calibri" w:cstheme="minorHAnsi"/>
          <w:sz w:val="24"/>
          <w:szCs w:val="24"/>
        </w:rPr>
      </w:pPr>
      <w:r w:rsidRPr="0041791D">
        <w:rPr>
          <w:rFonts w:cstheme="minorHAnsi"/>
          <w:sz w:val="24"/>
          <w:szCs w:val="24"/>
        </w:rPr>
        <w:fldChar w:fldCharType="begin"/>
      </w:r>
      <w:r w:rsidRPr="0041791D">
        <w:rPr>
          <w:rFonts w:cstheme="minorHAnsi"/>
          <w:sz w:val="24"/>
          <w:szCs w:val="24"/>
        </w:rPr>
        <w:instrText>HYPERLINK  \l "_1983__Rezoning"</w:instrText>
      </w:r>
      <w:r w:rsidRPr="0041791D">
        <w:rPr>
          <w:rFonts w:cstheme="minorHAnsi"/>
          <w:sz w:val="24"/>
          <w:szCs w:val="24"/>
        </w:rPr>
      </w:r>
      <w:r w:rsidRPr="0041791D">
        <w:rPr>
          <w:rFonts w:cstheme="minorHAnsi"/>
          <w:sz w:val="24"/>
          <w:szCs w:val="24"/>
        </w:rPr>
        <w:fldChar w:fldCharType="separate"/>
      </w:r>
      <w:r w:rsidRPr="0041791D">
        <w:rPr>
          <w:rFonts w:eastAsia="Calibri" w:cstheme="minorHAnsi"/>
          <w:color w:val="0563C1"/>
          <w:sz w:val="24"/>
          <w:szCs w:val="24"/>
          <w:u w:val="single"/>
        </w:rPr>
        <w:t>LSCL-F-</w:t>
      </w:r>
      <w:r w:rsidR="00356A0C">
        <w:rPr>
          <w:rFonts w:eastAsia="Calibri" w:cstheme="minorHAnsi"/>
          <w:color w:val="0563C1"/>
          <w:sz w:val="24"/>
          <w:szCs w:val="24"/>
          <w:u w:val="single"/>
        </w:rPr>
        <w:t>38</w:t>
      </w:r>
      <w:r w:rsidRPr="0041791D">
        <w:rPr>
          <w:rFonts w:eastAsia="Calibri" w:cstheme="minorHAnsi"/>
          <w:color w:val="0563C1"/>
          <w:sz w:val="24"/>
          <w:szCs w:val="24"/>
          <w:u w:val="single"/>
        </w:rPr>
        <w:fldChar w:fldCharType="end"/>
      </w:r>
      <w:r w:rsidRPr="0041791D">
        <w:rPr>
          <w:rFonts w:eastAsia="Calibri" w:cstheme="minorHAnsi"/>
          <w:sz w:val="24"/>
          <w:szCs w:val="24"/>
        </w:rPr>
        <w:t xml:space="preserve">: </w:t>
      </w:r>
      <w:commentRangeEnd w:id="85"/>
      <w:r w:rsidRPr="0041791D">
        <w:rPr>
          <w:rStyle w:val="CommentReference"/>
          <w:rFonts w:cstheme="minorHAnsi"/>
          <w:sz w:val="24"/>
          <w:szCs w:val="24"/>
        </w:rPr>
        <w:commentReference w:id="85"/>
      </w:r>
      <w:r w:rsidRPr="0041791D">
        <w:rPr>
          <w:rFonts w:eastAsia="Calibri" w:cstheme="minorHAnsi"/>
          <w:sz w:val="24"/>
          <w:szCs w:val="24"/>
        </w:rPr>
        <w:t xml:space="preserve">The recommended condition prohibiting landfill south of Coffin Butte Road was </w:t>
      </w:r>
      <w:commentRangeStart w:id="86"/>
      <w:r w:rsidRPr="0041791D">
        <w:rPr>
          <w:rFonts w:eastAsia="Calibri" w:cstheme="minorHAnsi"/>
          <w:sz w:val="24"/>
          <w:szCs w:val="24"/>
          <w:u w:val="single"/>
        </w:rPr>
        <w:t>not</w:t>
      </w:r>
      <w:r w:rsidRPr="0041791D">
        <w:rPr>
          <w:rFonts w:eastAsia="Calibri" w:cstheme="minorHAnsi"/>
          <w:sz w:val="24"/>
          <w:szCs w:val="24"/>
        </w:rPr>
        <w:t xml:space="preserve"> </w:t>
      </w:r>
      <w:commentRangeStart w:id="87"/>
      <w:r w:rsidRPr="0041791D">
        <w:rPr>
          <w:rFonts w:eastAsia="Calibri" w:cstheme="minorHAnsi"/>
          <w:sz w:val="24"/>
          <w:szCs w:val="24"/>
          <w:u w:val="single"/>
        </w:rPr>
        <w:t>included</w:t>
      </w:r>
      <w:commentRangeEnd w:id="86"/>
      <w:r w:rsidRPr="0041791D">
        <w:rPr>
          <w:rFonts w:eastAsia="Calibri" w:cstheme="minorHAnsi"/>
          <w:sz w:val="24"/>
          <w:szCs w:val="24"/>
        </w:rPr>
        <w:commentReference w:id="86"/>
      </w:r>
      <w:commentRangeEnd w:id="87"/>
      <w:r w:rsidRPr="0041791D">
        <w:rPr>
          <w:rFonts w:eastAsia="Calibri" w:cstheme="minorHAnsi"/>
          <w:sz w:val="24"/>
          <w:szCs w:val="24"/>
        </w:rPr>
        <w:commentReference w:id="87"/>
      </w:r>
      <w:r w:rsidRPr="0041791D">
        <w:rPr>
          <w:rFonts w:eastAsia="Calibri" w:cstheme="minorHAnsi"/>
          <w:sz w:val="24"/>
          <w:szCs w:val="24"/>
        </w:rPr>
        <w:t xml:space="preserve"> </w:t>
      </w:r>
      <w:commentRangeStart w:id="88"/>
      <w:commentRangeEnd w:id="88"/>
      <w:r w:rsidRPr="0041791D">
        <w:rPr>
          <w:rFonts w:eastAsia="Calibri" w:cstheme="minorHAnsi"/>
          <w:sz w:val="24"/>
          <w:szCs w:val="24"/>
        </w:rPr>
        <w:commentReference w:id="88"/>
      </w:r>
      <w:r w:rsidRPr="0041791D">
        <w:rPr>
          <w:rFonts w:eastAsia="Calibri" w:cstheme="minorHAnsi"/>
          <w:sz w:val="24"/>
          <w:szCs w:val="24"/>
        </w:rPr>
        <w:t>in the 1983 rezoning ordinance through a change recommended by Benton County Staff, in which Staff noted that any new disposal area would require approval of the Planning Commission in a public vote.  The process for approving landfill south of Coffin Butte Road was subsequently changed to “allowed by conditional use permit</w:t>
      </w:r>
      <w:r w:rsidRPr="0041791D">
        <w:rPr>
          <w:rFonts w:eastAsia="Calibri" w:cstheme="minorHAnsi"/>
          <w:iCs/>
          <w:sz w:val="24"/>
          <w:szCs w:val="24"/>
        </w:rPr>
        <w:t>.” This appears to be done</w:t>
      </w:r>
      <w:r w:rsidRPr="0041791D">
        <w:rPr>
          <w:rFonts w:eastAsia="Calibri" w:cstheme="minorHAnsi"/>
          <w:sz w:val="24"/>
          <w:szCs w:val="24"/>
        </w:rPr>
        <w:t xml:space="preserve"> via Ord. 90-0069 (BCC 77.305) This change was memorialized in the 2002 Memorandum of Understanding executed by Valley Landfills and Benton </w:t>
      </w:r>
      <w:commentRangeStart w:id="89"/>
      <w:r w:rsidRPr="0041791D">
        <w:rPr>
          <w:rFonts w:eastAsia="Calibri" w:cstheme="minorHAnsi"/>
          <w:sz w:val="24"/>
          <w:szCs w:val="24"/>
        </w:rPr>
        <w:t>County</w:t>
      </w:r>
      <w:commentRangeEnd w:id="89"/>
      <w:r w:rsidRPr="0041791D">
        <w:rPr>
          <w:rFonts w:eastAsia="Calibri" w:cstheme="minorHAnsi"/>
          <w:sz w:val="24"/>
          <w:szCs w:val="24"/>
        </w:rPr>
        <w:commentReference w:id="89"/>
      </w:r>
      <w:r w:rsidRPr="0041791D">
        <w:rPr>
          <w:rFonts w:eastAsia="Calibri" w:cstheme="minorHAnsi"/>
          <w:sz w:val="24"/>
          <w:szCs w:val="24"/>
        </w:rPr>
        <w:t>.</w:t>
      </w:r>
    </w:p>
    <w:p w14:paraId="031B709B" w14:textId="77777777" w:rsidR="006F646F" w:rsidRPr="0041791D" w:rsidRDefault="006F646F" w:rsidP="006F646F">
      <w:pPr>
        <w:spacing w:after="240" w:line="240" w:lineRule="auto"/>
        <w:rPr>
          <w:rFonts w:eastAsia="Calibri" w:cstheme="minorHAnsi"/>
          <w:iCs/>
          <w:sz w:val="24"/>
          <w:szCs w:val="24"/>
        </w:rPr>
      </w:pPr>
    </w:p>
    <w:p w14:paraId="4EBB8AD4" w14:textId="77777777" w:rsidR="006F646F" w:rsidRPr="0041791D" w:rsidRDefault="006F646F" w:rsidP="006F646F">
      <w:pPr>
        <w:spacing w:after="240" w:line="240" w:lineRule="auto"/>
        <w:rPr>
          <w:rFonts w:eastAsia="Calibri" w:cstheme="minorHAnsi"/>
          <w:b/>
          <w:sz w:val="24"/>
          <w:szCs w:val="24"/>
          <w:u w:val="single"/>
        </w:rPr>
      </w:pPr>
      <w:r w:rsidRPr="0041791D">
        <w:rPr>
          <w:rFonts w:eastAsia="Calibri" w:cstheme="minorHAnsi"/>
          <w:b/>
          <w:sz w:val="24"/>
          <w:szCs w:val="24"/>
          <w:u w:val="single"/>
        </w:rPr>
        <w:t>Landfill Size: Footprint and Structure</w:t>
      </w:r>
    </w:p>
    <w:p w14:paraId="0BC9BA6B" w14:textId="0CDE527E" w:rsidR="006F646F" w:rsidRPr="009F412B" w:rsidRDefault="00415FF3" w:rsidP="006F646F">
      <w:pPr>
        <w:spacing w:after="0" w:line="240" w:lineRule="auto"/>
        <w:rPr>
          <w:rFonts w:ascii="Times New Roman" w:hAnsi="Times New Roman" w:cs="Times New Roman"/>
          <w:sz w:val="24"/>
          <w:szCs w:val="24"/>
        </w:rPr>
      </w:pPr>
      <w:hyperlink w:anchor="_1983__Rezoning" w:history="1">
        <w:r w:rsidR="006F646F" w:rsidRPr="0041791D">
          <w:rPr>
            <w:rFonts w:eastAsia="Calibri" w:cstheme="minorHAnsi"/>
            <w:color w:val="0563C1"/>
            <w:sz w:val="24"/>
            <w:szCs w:val="24"/>
            <w:u w:val="single"/>
          </w:rPr>
          <w:t>LSCL-F-</w:t>
        </w:r>
        <w:r w:rsidR="00356A0C">
          <w:rPr>
            <w:rFonts w:eastAsia="Calibri" w:cstheme="minorHAnsi"/>
            <w:color w:val="0563C1"/>
            <w:sz w:val="24"/>
            <w:szCs w:val="24"/>
            <w:u w:val="single"/>
          </w:rPr>
          <w:t>39</w:t>
        </w:r>
      </w:hyperlink>
      <w:r w:rsidR="006F646F" w:rsidRPr="0041791D">
        <w:rPr>
          <w:rFonts w:eastAsia="Calibri" w:cstheme="minorHAnsi"/>
          <w:sz w:val="24"/>
          <w:szCs w:val="24"/>
        </w:rPr>
        <w:t xml:space="preserve">: The 1983 rezoning action defined 194 acres as Landfill Size (LS) zone. An additional </w:t>
      </w:r>
      <w:r w:rsidR="006F646F">
        <w:rPr>
          <w:rFonts w:eastAsia="Calibri" w:cstheme="minorHAnsi"/>
          <w:sz w:val="24"/>
          <w:szCs w:val="24"/>
        </w:rPr>
        <w:t>59-</w:t>
      </w:r>
      <w:r w:rsidR="006F646F" w:rsidRPr="0041791D">
        <w:rPr>
          <w:rFonts w:eastAsia="Calibri" w:cstheme="minorHAnsi"/>
          <w:sz w:val="24"/>
          <w:szCs w:val="24"/>
        </w:rPr>
        <w:t>acre parcel south of Coffin Butte Road, while zoned LS, would not be used for disposal of solid waste unless approved by a conditional use permit and Department of Environmental Quality permit for solid waste landfill use. The site map attached to the 2002 MOU restricted “fill” activity to the north side of Coffin Butte Road.</w:t>
      </w:r>
    </w:p>
    <w:p w14:paraId="5501455B" w14:textId="77777777" w:rsidR="006F646F" w:rsidRPr="0041791D" w:rsidRDefault="006F646F" w:rsidP="006F646F">
      <w:pPr>
        <w:spacing w:after="240" w:line="240" w:lineRule="auto"/>
        <w:contextualSpacing/>
        <w:rPr>
          <w:rFonts w:eastAsia="Calibri" w:cstheme="minorHAnsi"/>
          <w:sz w:val="24"/>
          <w:szCs w:val="24"/>
        </w:rPr>
      </w:pPr>
    </w:p>
    <w:p w14:paraId="2CCE8D86" w14:textId="4AF98007" w:rsidR="006F646F" w:rsidRPr="0041791D" w:rsidRDefault="006F646F" w:rsidP="006F646F">
      <w:pPr>
        <w:spacing w:after="240" w:line="240" w:lineRule="auto"/>
        <w:rPr>
          <w:rFonts w:eastAsia="Calibri" w:cstheme="minorHAnsi"/>
          <w:sz w:val="24"/>
          <w:szCs w:val="24"/>
        </w:rPr>
      </w:pPr>
      <w:r w:rsidRPr="0041791D">
        <w:rPr>
          <w:rFonts w:eastAsia="Calibri" w:cstheme="minorHAnsi"/>
          <w:color w:val="0563C1"/>
          <w:sz w:val="24"/>
          <w:szCs w:val="24"/>
          <w:u w:val="single"/>
        </w:rPr>
        <w:t>LSCL-F-</w:t>
      </w:r>
      <w:r w:rsidR="00356A0C">
        <w:rPr>
          <w:rFonts w:eastAsia="Calibri" w:cstheme="minorHAnsi"/>
          <w:color w:val="0563C1"/>
          <w:sz w:val="24"/>
          <w:szCs w:val="24"/>
          <w:u w:val="single"/>
        </w:rPr>
        <w:t>40</w:t>
      </w:r>
      <w:r w:rsidRPr="0041791D">
        <w:rPr>
          <w:rFonts w:eastAsia="Calibri" w:cstheme="minorHAnsi"/>
          <w:sz w:val="24"/>
          <w:szCs w:val="24"/>
        </w:rPr>
        <w:t xml:space="preserve">: Twenty-three tax lots are owned by landfill-affiliated entities. Six of these </w:t>
      </w:r>
      <w:proofErr w:type="spellStart"/>
      <w:r w:rsidRPr="0041791D">
        <w:rPr>
          <w:rFonts w:eastAsia="Calibri" w:cstheme="minorHAnsi"/>
          <w:sz w:val="24"/>
          <w:szCs w:val="24"/>
        </w:rPr>
        <w:t>taxlots</w:t>
      </w:r>
      <w:proofErr w:type="spellEnd"/>
      <w:r w:rsidRPr="0041791D">
        <w:rPr>
          <w:rFonts w:eastAsia="Calibri" w:cstheme="minorHAnsi"/>
          <w:sz w:val="24"/>
          <w:szCs w:val="24"/>
        </w:rPr>
        <w:t xml:space="preserve"> are zoned LS, and the 5 LS tax lots on the north side of Coffin Butte Road contain landfill cell disposal areas.  The most recent tax lots associated with the landfill were purchased in 2001 (non-disposal areas).</w:t>
      </w:r>
    </w:p>
    <w:p w14:paraId="0B1822E0" w14:textId="00DF636B" w:rsidR="006F646F" w:rsidRPr="0041791D" w:rsidRDefault="00415FF3" w:rsidP="006F646F">
      <w:pPr>
        <w:spacing w:after="240" w:line="240" w:lineRule="auto"/>
        <w:contextualSpacing/>
        <w:rPr>
          <w:rFonts w:eastAsia="Calibri" w:cstheme="minorHAnsi"/>
          <w:sz w:val="24"/>
          <w:szCs w:val="24"/>
        </w:rPr>
      </w:pPr>
      <w:hyperlink w:anchor="_Section_1:_Landfill" w:history="1">
        <w:r w:rsidR="006F646F" w:rsidRPr="0041791D">
          <w:rPr>
            <w:rFonts w:eastAsia="Calibri" w:cstheme="minorHAnsi"/>
            <w:color w:val="0563C1"/>
            <w:sz w:val="24"/>
            <w:szCs w:val="24"/>
            <w:u w:val="single"/>
          </w:rPr>
          <w:t>LSCL-F-</w:t>
        </w:r>
        <w:r w:rsidR="00356A0C">
          <w:rPr>
            <w:rFonts w:eastAsia="Calibri" w:cstheme="minorHAnsi"/>
            <w:color w:val="0563C1"/>
            <w:sz w:val="24"/>
            <w:szCs w:val="24"/>
            <w:u w:val="single"/>
          </w:rPr>
          <w:t>41</w:t>
        </w:r>
      </w:hyperlink>
      <w:r w:rsidR="006F646F" w:rsidRPr="0041791D">
        <w:rPr>
          <w:rFonts w:eastAsia="Calibri" w:cstheme="minorHAnsi"/>
          <w:sz w:val="24"/>
          <w:szCs w:val="24"/>
        </w:rPr>
        <w:t xml:space="preserve">: </w:t>
      </w:r>
      <w:commentRangeStart w:id="90"/>
      <w:commentRangeStart w:id="91"/>
      <w:r w:rsidR="006F646F" w:rsidRPr="0041791D">
        <w:rPr>
          <w:rFonts w:eastAsia="Calibri" w:cstheme="minorHAnsi"/>
          <w:sz w:val="24"/>
          <w:szCs w:val="24"/>
        </w:rPr>
        <w:t xml:space="preserve">The landfill has </w:t>
      </w:r>
      <w:r w:rsidR="00311020">
        <w:rPr>
          <w:rFonts w:eastAsia="Calibri" w:cstheme="minorHAnsi"/>
          <w:sz w:val="24"/>
          <w:szCs w:val="24"/>
        </w:rPr>
        <w:t xml:space="preserve">developed </w:t>
      </w:r>
      <w:r w:rsidR="006F646F" w:rsidRPr="0041791D">
        <w:rPr>
          <w:rFonts w:eastAsia="Calibri" w:cstheme="minorHAnsi"/>
          <w:sz w:val="24"/>
          <w:szCs w:val="24"/>
        </w:rPr>
        <w:t>visually over time</w:t>
      </w:r>
      <w:r w:rsidR="00311020">
        <w:rPr>
          <w:rFonts w:eastAsia="Calibri" w:cstheme="minorHAnsi"/>
          <w:sz w:val="24"/>
          <w:szCs w:val="24"/>
        </w:rPr>
        <w:t xml:space="preserve"> in accordance with site development plans</w:t>
      </w:r>
      <w:r w:rsidR="006F646F" w:rsidRPr="0041791D">
        <w:rPr>
          <w:rFonts w:eastAsia="Calibri" w:cstheme="minorHAnsi"/>
          <w:sz w:val="24"/>
          <w:szCs w:val="24"/>
        </w:rPr>
        <w:t>.</w:t>
      </w:r>
      <w:commentRangeEnd w:id="90"/>
      <w:r w:rsidR="006F646F" w:rsidRPr="0041791D">
        <w:rPr>
          <w:rFonts w:eastAsia="Calibri" w:cstheme="minorHAnsi"/>
          <w:sz w:val="24"/>
          <w:szCs w:val="24"/>
        </w:rPr>
        <w:commentReference w:id="90"/>
      </w:r>
      <w:commentRangeEnd w:id="91"/>
      <w:r w:rsidR="006F646F" w:rsidRPr="0041791D">
        <w:rPr>
          <w:rFonts w:eastAsia="Calibri" w:cstheme="minorHAnsi"/>
          <w:sz w:val="24"/>
          <w:szCs w:val="24"/>
        </w:rPr>
        <w:commentReference w:id="91"/>
      </w:r>
      <w:r w:rsidR="006F646F" w:rsidRPr="0041791D">
        <w:rPr>
          <w:rFonts w:eastAsia="Calibri" w:cstheme="minorHAnsi"/>
          <w:sz w:val="24"/>
          <w:szCs w:val="24"/>
        </w:rPr>
        <w:t xml:space="preserve"> Coffin Butte Landfill has changed visually since it’s designation as a regional landfill in 1974, growing in both height and size</w:t>
      </w:r>
      <w:r w:rsidR="00311020">
        <w:rPr>
          <w:rFonts w:eastAsia="Calibri" w:cstheme="minorHAnsi"/>
          <w:sz w:val="24"/>
          <w:szCs w:val="24"/>
        </w:rPr>
        <w:t>, and visual appearance</w:t>
      </w:r>
      <w:r w:rsidR="006F646F" w:rsidRPr="0041791D">
        <w:rPr>
          <w:rFonts w:eastAsia="Calibri" w:cstheme="minorHAnsi"/>
          <w:sz w:val="24"/>
          <w:szCs w:val="24"/>
        </w:rPr>
        <w:t>. However, the overall landfill acreage</w:t>
      </w:r>
      <w:r w:rsidR="00311020">
        <w:rPr>
          <w:rFonts w:eastAsia="Calibri" w:cstheme="minorHAnsi"/>
          <w:sz w:val="24"/>
          <w:szCs w:val="24"/>
        </w:rPr>
        <w:t xml:space="preserve"> </w:t>
      </w:r>
      <w:r w:rsidR="006F646F" w:rsidRPr="0041791D">
        <w:rPr>
          <w:rFonts w:eastAsia="Calibri" w:cstheme="minorHAnsi"/>
          <w:sz w:val="24"/>
          <w:szCs w:val="24"/>
        </w:rPr>
        <w:t>hasn’t changed significantly since 1983; it has filled in more of its footprint.</w:t>
      </w:r>
    </w:p>
    <w:p w14:paraId="37FEB302" w14:textId="77777777" w:rsidR="006F646F" w:rsidRPr="0041791D" w:rsidRDefault="006F646F" w:rsidP="006F646F">
      <w:pPr>
        <w:rPr>
          <w:rFonts w:cstheme="minorHAnsi"/>
          <w:sz w:val="24"/>
          <w:szCs w:val="24"/>
        </w:rPr>
      </w:pPr>
    </w:p>
    <w:p w14:paraId="41262014" w14:textId="77777777" w:rsidR="006F646F" w:rsidRDefault="006F646F" w:rsidP="006F646F">
      <w:pPr>
        <w:rPr>
          <w:rFonts w:eastAsia="Times New Roman" w:cstheme="minorHAnsi"/>
          <w:color w:val="2E74B5"/>
          <w:sz w:val="24"/>
          <w:szCs w:val="24"/>
        </w:rPr>
      </w:pPr>
      <w:bookmarkStart w:id="92" w:name="_Toc128666863"/>
      <w:r>
        <w:rPr>
          <w:rFonts w:eastAsia="Times New Roman" w:cstheme="minorHAnsi"/>
          <w:color w:val="2E74B5"/>
          <w:sz w:val="24"/>
          <w:szCs w:val="24"/>
        </w:rPr>
        <w:br w:type="page"/>
      </w:r>
    </w:p>
    <w:p w14:paraId="6EA97CA0" w14:textId="77777777" w:rsidR="006F646F" w:rsidRPr="0041791D" w:rsidRDefault="006F646F" w:rsidP="006F646F">
      <w:pPr>
        <w:keepNext/>
        <w:keepLines/>
        <w:numPr>
          <w:ilvl w:val="0"/>
          <w:numId w:val="22"/>
        </w:numPr>
        <w:spacing w:after="240" w:line="240" w:lineRule="auto"/>
        <w:outlineLvl w:val="0"/>
        <w:rPr>
          <w:rFonts w:eastAsia="Times New Roman" w:cstheme="minorHAnsi"/>
          <w:color w:val="2E74B5"/>
          <w:sz w:val="24"/>
          <w:szCs w:val="24"/>
        </w:rPr>
      </w:pPr>
      <w:bookmarkStart w:id="93" w:name="_Toc129256698"/>
      <w:r w:rsidRPr="0041791D">
        <w:rPr>
          <w:rFonts w:eastAsia="Times New Roman" w:cstheme="minorHAnsi"/>
          <w:color w:val="2E74B5"/>
          <w:sz w:val="24"/>
          <w:szCs w:val="24"/>
        </w:rPr>
        <w:t>Table of Recommendations</w:t>
      </w:r>
      <w:bookmarkEnd w:id="92"/>
      <w:bookmarkEnd w:id="93"/>
    </w:p>
    <w:p w14:paraId="16604A9B" w14:textId="0D00DBAA" w:rsidR="006F646F" w:rsidRPr="0007732C" w:rsidRDefault="006F646F" w:rsidP="006F646F">
      <w:pPr>
        <w:rPr>
          <w:rFonts w:cstheme="minorHAnsi"/>
          <w:b/>
          <w:bCs/>
          <w:sz w:val="24"/>
          <w:szCs w:val="24"/>
        </w:rPr>
      </w:pPr>
      <w:r w:rsidRPr="0041791D">
        <w:rPr>
          <w:rFonts w:cstheme="minorHAnsi"/>
          <w:b/>
          <w:bCs/>
          <w:sz w:val="24"/>
          <w:szCs w:val="24"/>
        </w:rPr>
        <w:t>Key Recommendations:</w:t>
      </w:r>
    </w:p>
    <w:commentRangeStart w:id="94"/>
    <w:p w14:paraId="071ADEEC" w14:textId="77777777" w:rsidR="006F646F" w:rsidRPr="0041791D" w:rsidRDefault="006F646F" w:rsidP="006F646F">
      <w:pPr>
        <w:rPr>
          <w:rFonts w:eastAsia="Calibri" w:cstheme="minorHAnsi"/>
          <w:sz w:val="24"/>
          <w:szCs w:val="24"/>
        </w:rPr>
      </w:pPr>
      <w:r w:rsidRPr="0041791D">
        <w:rPr>
          <w:rFonts w:cstheme="minorHAnsi"/>
          <w:sz w:val="24"/>
          <w:szCs w:val="24"/>
        </w:rPr>
        <w:fldChar w:fldCharType="begin"/>
      </w:r>
      <w:r w:rsidRPr="0041791D">
        <w:rPr>
          <w:rFonts w:cstheme="minorHAnsi"/>
          <w:sz w:val="24"/>
          <w:szCs w:val="24"/>
        </w:rPr>
        <w:instrText>HYPERLINK \l "_Events_and_Factors"</w:instrText>
      </w:r>
      <w:r w:rsidRPr="0041791D">
        <w:rPr>
          <w:rFonts w:cstheme="minorHAnsi"/>
          <w:sz w:val="24"/>
          <w:szCs w:val="24"/>
        </w:rPr>
      </w:r>
      <w:r w:rsidRPr="0041791D">
        <w:rPr>
          <w:rFonts w:cstheme="minorHAnsi"/>
          <w:sz w:val="24"/>
          <w:szCs w:val="24"/>
        </w:rPr>
        <w:fldChar w:fldCharType="separate"/>
      </w:r>
      <w:r w:rsidRPr="0041791D">
        <w:rPr>
          <w:rFonts w:eastAsia="Calibri" w:cstheme="minorHAnsi"/>
          <w:iCs/>
          <w:color w:val="0563C1"/>
          <w:sz w:val="24"/>
          <w:szCs w:val="24"/>
          <w:u w:val="single"/>
        </w:rPr>
        <w:t>LSCL-R-1</w:t>
      </w:r>
      <w:r w:rsidRPr="0041791D">
        <w:rPr>
          <w:rFonts w:eastAsia="Calibri" w:cstheme="minorHAnsi"/>
          <w:iCs/>
          <w:color w:val="0563C1"/>
          <w:sz w:val="24"/>
          <w:szCs w:val="24"/>
          <w:u w:val="single"/>
        </w:rPr>
        <w:fldChar w:fldCharType="end"/>
      </w:r>
      <w:r w:rsidRPr="0041791D">
        <w:rPr>
          <w:rFonts w:eastAsia="Calibri" w:cstheme="minorHAnsi"/>
          <w:iCs/>
          <w:sz w:val="24"/>
          <w:szCs w:val="24"/>
        </w:rPr>
        <w:t xml:space="preserve">: </w:t>
      </w:r>
      <w:commentRangeEnd w:id="94"/>
      <w:r w:rsidRPr="0041791D">
        <w:rPr>
          <w:rStyle w:val="CommentReference"/>
          <w:rFonts w:cstheme="minorHAnsi"/>
          <w:sz w:val="24"/>
          <w:szCs w:val="24"/>
        </w:rPr>
        <w:commentReference w:id="94"/>
      </w:r>
      <w:r w:rsidRPr="0041791D">
        <w:rPr>
          <w:rFonts w:eastAsia="Calibri" w:cstheme="minorHAnsi"/>
          <w:sz w:val="24"/>
          <w:szCs w:val="24"/>
        </w:rPr>
        <w:t>The Sustainable Materials Management Plan should further develop scenarios and factors that may impact the landfill lifespan, including detailed analyses of likely projections.</w:t>
      </w:r>
      <w:r w:rsidRPr="007A5285">
        <w:t xml:space="preserve"> </w:t>
      </w:r>
      <w:r w:rsidRPr="007A5285">
        <w:rPr>
          <w:rFonts w:eastAsia="Calibri" w:cstheme="minorHAnsi"/>
          <w:sz w:val="24"/>
          <w:szCs w:val="24"/>
        </w:rPr>
        <w:t>The Commissioners and County staff should keep the questions about these factors and their effects in mind when making decisions affecting the landfill.</w:t>
      </w:r>
    </w:p>
    <w:p w14:paraId="2CE6C992" w14:textId="6E2031F3" w:rsidR="006F646F" w:rsidRDefault="00415FF3" w:rsidP="006F646F">
      <w:pPr>
        <w:spacing w:after="0" w:line="240" w:lineRule="auto"/>
        <w:rPr>
          <w:rFonts w:eastAsia="Calibri" w:cstheme="minorHAnsi"/>
          <w:sz w:val="24"/>
          <w:szCs w:val="24"/>
        </w:rPr>
      </w:pPr>
      <w:hyperlink w:anchor="_Intake_Volume" w:history="1">
        <w:r w:rsidR="006F646F" w:rsidRPr="0041791D">
          <w:rPr>
            <w:rStyle w:val="Hyperlink"/>
            <w:rFonts w:eastAsia="Calibri" w:cstheme="minorHAnsi"/>
            <w:sz w:val="24"/>
            <w:szCs w:val="24"/>
          </w:rPr>
          <w:t>LSCL-R-2</w:t>
        </w:r>
      </w:hyperlink>
      <w:r w:rsidR="006F646F" w:rsidRPr="0041791D">
        <w:rPr>
          <w:rFonts w:eastAsia="Calibri" w:cstheme="minorHAnsi"/>
          <w:sz w:val="24"/>
          <w:szCs w:val="24"/>
        </w:rPr>
        <w:t>: Benton County should create and share a plan for the enforcement of all franchise agreements</w:t>
      </w:r>
      <w:r w:rsidR="0007732C">
        <w:rPr>
          <w:rFonts w:eastAsia="Calibri" w:cstheme="minorHAnsi"/>
          <w:strike/>
          <w:sz w:val="24"/>
          <w:szCs w:val="24"/>
        </w:rPr>
        <w:t>.</w:t>
      </w:r>
    </w:p>
    <w:p w14:paraId="2CCFA49B" w14:textId="77777777" w:rsidR="006F646F" w:rsidRPr="00E10F81" w:rsidRDefault="006F646F" w:rsidP="006F646F">
      <w:pPr>
        <w:spacing w:after="0" w:line="240" w:lineRule="auto"/>
        <w:rPr>
          <w:rFonts w:ascii="Times New Roman" w:hAnsi="Times New Roman" w:cs="Times New Roman"/>
          <w:sz w:val="24"/>
          <w:szCs w:val="24"/>
        </w:rPr>
      </w:pPr>
    </w:p>
    <w:p w14:paraId="34EA9B7C" w14:textId="6429251F" w:rsidR="006F646F" w:rsidRPr="00987C9B" w:rsidRDefault="00415FF3" w:rsidP="006F646F">
      <w:pPr>
        <w:spacing w:after="0" w:line="240" w:lineRule="auto"/>
        <w:rPr>
          <w:rFonts w:ascii="Times New Roman" w:hAnsi="Times New Roman" w:cs="Times New Roman"/>
          <w:strike/>
          <w:sz w:val="24"/>
          <w:szCs w:val="24"/>
        </w:rPr>
      </w:pPr>
      <w:hyperlink w:anchor="_Intake_Volume" w:history="1">
        <w:r w:rsidR="006F646F" w:rsidRPr="0041791D">
          <w:rPr>
            <w:rStyle w:val="Hyperlink"/>
            <w:rFonts w:eastAsia="Calibri" w:cstheme="minorHAnsi"/>
            <w:bCs/>
            <w:sz w:val="24"/>
            <w:szCs w:val="24"/>
          </w:rPr>
          <w:t>LSCL-R-3</w:t>
        </w:r>
      </w:hyperlink>
      <w:r w:rsidR="006F646F" w:rsidRPr="0041791D">
        <w:rPr>
          <w:rFonts w:eastAsia="Calibri" w:cstheme="minorHAnsi"/>
          <w:bCs/>
          <w:sz w:val="24"/>
          <w:szCs w:val="24"/>
        </w:rPr>
        <w:t>:</w:t>
      </w:r>
      <w:r w:rsidR="006F646F" w:rsidRPr="0041791D">
        <w:rPr>
          <w:rFonts w:eastAsia="Calibri" w:cstheme="minorHAnsi"/>
          <w:sz w:val="24"/>
          <w:szCs w:val="24"/>
        </w:rPr>
        <w:t xml:space="preserve"> Benton County </w:t>
      </w:r>
      <w:r w:rsidR="006F646F">
        <w:rPr>
          <w:rFonts w:eastAsia="Calibri" w:cstheme="minorHAnsi"/>
          <w:sz w:val="24"/>
          <w:szCs w:val="24"/>
        </w:rPr>
        <w:t>should</w:t>
      </w:r>
      <w:r w:rsidR="006F646F" w:rsidRPr="0041791D">
        <w:rPr>
          <w:rFonts w:eastAsia="Calibri" w:cstheme="minorHAnsi"/>
          <w:sz w:val="24"/>
          <w:szCs w:val="24"/>
        </w:rPr>
        <w:t xml:space="preserve"> c</w:t>
      </w:r>
      <w:r w:rsidR="00987C9B">
        <w:rPr>
          <w:rFonts w:eastAsia="Calibri" w:cstheme="minorHAnsi"/>
          <w:sz w:val="24"/>
          <w:szCs w:val="24"/>
        </w:rPr>
        <w:t>ontract for</w:t>
      </w:r>
      <w:r w:rsidR="006F646F" w:rsidRPr="0041791D">
        <w:rPr>
          <w:rFonts w:eastAsia="Calibri" w:cstheme="minorHAnsi"/>
          <w:sz w:val="24"/>
          <w:szCs w:val="24"/>
        </w:rPr>
        <w:t xml:space="preserve"> an updated Baseline Study to evaluate the impact of the current intake level at Coffin Butte.  As with the 2001 Baseline Study stipulated in the 2000 Landfill Franchise Agreement, this study should determine and measure adverse effects, including but not limited to: traffic, soil conditions and contamination levels, air quality, surface and ground water conditions and contamination levels, noise, odor, visual screenings, litter, hours of operation, solid waste control systems and compliance with all solid waste Permits.</w:t>
      </w:r>
      <w:r w:rsidR="00987C9B">
        <w:rPr>
          <w:rFonts w:eastAsia="Calibri" w:cstheme="minorHAnsi"/>
          <w:sz w:val="24"/>
          <w:szCs w:val="24"/>
        </w:rPr>
        <w:t xml:space="preserve"> This baseline study could help inform Benton County in decision making and financial choices regarding how to use the income from the landfill.</w:t>
      </w:r>
      <w:r w:rsidR="006F646F" w:rsidRPr="0041791D">
        <w:rPr>
          <w:rFonts w:eastAsia="Calibri" w:cstheme="minorHAnsi"/>
          <w:sz w:val="24"/>
          <w:szCs w:val="24"/>
        </w:rPr>
        <w:t xml:space="preserve"> </w:t>
      </w:r>
    </w:p>
    <w:p w14:paraId="275BC156" w14:textId="77777777" w:rsidR="006F646F" w:rsidRPr="003C5E9C" w:rsidRDefault="006F646F" w:rsidP="006F646F">
      <w:pPr>
        <w:spacing w:after="0" w:line="240" w:lineRule="auto"/>
        <w:rPr>
          <w:rFonts w:ascii="Times New Roman" w:hAnsi="Times New Roman" w:cs="Times New Roman"/>
          <w:sz w:val="24"/>
          <w:szCs w:val="24"/>
        </w:rPr>
      </w:pPr>
    </w:p>
    <w:p w14:paraId="0614B931" w14:textId="228370A4" w:rsidR="006F646F" w:rsidRDefault="00415FF3" w:rsidP="006F646F">
      <w:pPr>
        <w:spacing w:after="0" w:line="240" w:lineRule="auto"/>
        <w:rPr>
          <w:rFonts w:ascii="Times New Roman" w:hAnsi="Times New Roman" w:cs="Times New Roman"/>
          <w:sz w:val="24"/>
          <w:szCs w:val="24"/>
        </w:rPr>
      </w:pPr>
      <w:hyperlink w:anchor="_Intake_Volume" w:history="1">
        <w:r w:rsidR="006F646F" w:rsidRPr="0041791D">
          <w:rPr>
            <w:rStyle w:val="Hyperlink"/>
            <w:rFonts w:eastAsia="Calibri" w:cstheme="minorHAnsi"/>
            <w:sz w:val="24"/>
            <w:szCs w:val="24"/>
          </w:rPr>
          <w:t>LSCL-R-4</w:t>
        </w:r>
      </w:hyperlink>
      <w:r w:rsidR="006F646F" w:rsidRPr="0041791D">
        <w:rPr>
          <w:rFonts w:eastAsia="Calibri" w:cstheme="minorHAnsi"/>
          <w:sz w:val="24"/>
          <w:szCs w:val="24"/>
        </w:rPr>
        <w:t xml:space="preserve">: The County should, as soon as possible, consider the public record of the deliberations leading to the execution of the 2020 Landfill Franchise Agreement in order to assess a) which party requested that the 2020 Tonnage Cap be eliminated if expansion was approved, b) if Benton County proposed the elimination of the 2020 Tonnage Cap, determine why this was done, c) determine the County’s expectation for the benefit(s) to the County of accepting up to 1.1M Tons of waste per year when the County’s reserve portion is approximately 6.8% of that amount, d) interpretation of the “Tonnage Cap”, specifically relative to the 2020 Tonnage Cap, and e) expectations of both parties for future landfill site expansion, including any plans for multiple (repeated) future expansions. The county should then use this information to inform landfill-related </w:t>
      </w:r>
      <w:r w:rsidR="006F646F">
        <w:rPr>
          <w:rFonts w:eastAsia="Calibri" w:cstheme="minorHAnsi"/>
          <w:sz w:val="24"/>
          <w:szCs w:val="24"/>
        </w:rPr>
        <w:t xml:space="preserve">decision-making. </w:t>
      </w:r>
      <w:commentRangeStart w:id="95"/>
      <w:commentRangeEnd w:id="95"/>
      <w:r w:rsidR="006F646F">
        <w:rPr>
          <w:rStyle w:val="CommentReference"/>
          <w:rFonts w:ascii="Palatino Linotype" w:hAnsi="Palatino Linotype"/>
        </w:rPr>
        <w:commentReference w:id="95"/>
      </w:r>
      <w:r w:rsidR="006F646F">
        <w:rPr>
          <w:rFonts w:ascii="Times New Roman" w:hAnsi="Times New Roman" w:cs="Times New Roman"/>
          <w:sz w:val="24"/>
          <w:szCs w:val="24"/>
        </w:rPr>
        <w:t xml:space="preserve"> </w:t>
      </w:r>
      <w:r w:rsidR="00311020">
        <w:rPr>
          <w:rFonts w:ascii="Times New Roman" w:hAnsi="Times New Roman" w:cs="Times New Roman"/>
          <w:sz w:val="24"/>
          <w:szCs w:val="24"/>
        </w:rPr>
        <w:t>These negotiations were conducted privately</w:t>
      </w:r>
      <w:r w:rsidR="00981BFA">
        <w:rPr>
          <w:rFonts w:ascii="Times New Roman" w:hAnsi="Times New Roman" w:cs="Times New Roman"/>
          <w:sz w:val="24"/>
          <w:szCs w:val="24"/>
        </w:rPr>
        <w:t xml:space="preserve"> (not in public meetings)</w:t>
      </w:r>
      <w:r w:rsidR="00311020">
        <w:rPr>
          <w:rFonts w:ascii="Times New Roman" w:hAnsi="Times New Roman" w:cs="Times New Roman"/>
          <w:sz w:val="24"/>
          <w:szCs w:val="24"/>
        </w:rPr>
        <w:t xml:space="preserve">, and </w:t>
      </w:r>
      <w:r w:rsidR="00311020">
        <w:rPr>
          <w:rFonts w:cstheme="minorHAnsi"/>
          <w:sz w:val="24"/>
          <w:szCs w:val="24"/>
        </w:rPr>
        <w:t>t</w:t>
      </w:r>
      <w:r w:rsidR="006F646F" w:rsidRPr="007C620F">
        <w:rPr>
          <w:rFonts w:cstheme="minorHAnsi"/>
          <w:sz w:val="24"/>
          <w:szCs w:val="24"/>
        </w:rPr>
        <w:t xml:space="preserve">here are elements of these discussions that </w:t>
      </w:r>
      <w:r w:rsidR="00311020">
        <w:rPr>
          <w:rFonts w:cstheme="minorHAnsi"/>
          <w:sz w:val="24"/>
          <w:szCs w:val="24"/>
        </w:rPr>
        <w:t>may</w:t>
      </w:r>
      <w:r w:rsidR="006F646F" w:rsidRPr="007C620F">
        <w:rPr>
          <w:rFonts w:cstheme="minorHAnsi"/>
          <w:sz w:val="24"/>
          <w:szCs w:val="24"/>
        </w:rPr>
        <w:t xml:space="preserve"> be proprietary and/or fall under attorney-client privilege.</w:t>
      </w:r>
    </w:p>
    <w:p w14:paraId="64114213" w14:textId="77777777" w:rsidR="006F646F" w:rsidRPr="00422BCA" w:rsidRDefault="006F646F" w:rsidP="006F646F">
      <w:pPr>
        <w:spacing w:after="0" w:line="240" w:lineRule="auto"/>
        <w:rPr>
          <w:rFonts w:ascii="Times New Roman" w:hAnsi="Times New Roman" w:cs="Times New Roman"/>
          <w:sz w:val="24"/>
          <w:szCs w:val="24"/>
        </w:rPr>
      </w:pPr>
    </w:p>
    <w:p w14:paraId="7F5D365E" w14:textId="35FBB181" w:rsidR="0007732C" w:rsidRPr="0041791D" w:rsidRDefault="00415FF3" w:rsidP="006F646F">
      <w:pPr>
        <w:rPr>
          <w:rFonts w:eastAsia="Calibri" w:cstheme="minorHAnsi"/>
          <w:sz w:val="24"/>
          <w:szCs w:val="24"/>
        </w:rPr>
      </w:pPr>
      <w:hyperlink w:anchor="_Permitted_Disposal_Capacity" w:history="1">
        <w:r w:rsidR="006F646F" w:rsidRPr="0041791D">
          <w:rPr>
            <w:rStyle w:val="Hyperlink"/>
            <w:rFonts w:eastAsia="Calibri" w:cstheme="minorHAnsi"/>
            <w:sz w:val="24"/>
            <w:szCs w:val="24"/>
          </w:rPr>
          <w:t>LSCL-R-5</w:t>
        </w:r>
      </w:hyperlink>
      <w:r w:rsidR="006F646F" w:rsidRPr="0041791D">
        <w:rPr>
          <w:rFonts w:eastAsia="Calibri" w:cstheme="minorHAnsi"/>
          <w:sz w:val="24"/>
          <w:szCs w:val="24"/>
        </w:rPr>
        <w:t xml:space="preserve">: Benton County should clarify and document the process for officially establishing Permitted Space, including </w:t>
      </w:r>
      <w:proofErr w:type="gramStart"/>
      <w:r w:rsidR="006F646F" w:rsidRPr="0041791D">
        <w:rPr>
          <w:rFonts w:eastAsia="Calibri" w:cstheme="minorHAnsi"/>
          <w:sz w:val="24"/>
          <w:szCs w:val="24"/>
        </w:rPr>
        <w:t>any and all</w:t>
      </w:r>
      <w:proofErr w:type="gramEnd"/>
      <w:r w:rsidR="006F646F" w:rsidRPr="0041791D">
        <w:rPr>
          <w:rFonts w:eastAsia="Calibri" w:cstheme="minorHAnsi"/>
          <w:sz w:val="24"/>
          <w:szCs w:val="24"/>
        </w:rPr>
        <w:t xml:space="preserve"> required Benton County actions and regulatory agency approvals (ODEQ, EPA, etc.).</w:t>
      </w:r>
    </w:p>
    <w:p w14:paraId="626779DA" w14:textId="2A8E53FB" w:rsidR="006F646F" w:rsidRDefault="00415FF3" w:rsidP="0007732C">
      <w:pPr>
        <w:spacing w:after="0" w:line="240" w:lineRule="auto"/>
        <w:rPr>
          <w:rFonts w:ascii="Times New Roman" w:hAnsi="Times New Roman" w:cs="Times New Roman"/>
          <w:sz w:val="24"/>
          <w:szCs w:val="24"/>
        </w:rPr>
      </w:pPr>
      <w:hyperlink w:anchor="_Cell_6_(Quarry)" w:history="1">
        <w:r w:rsidR="006F646F" w:rsidRPr="0041791D">
          <w:rPr>
            <w:rStyle w:val="Hyperlink"/>
            <w:rFonts w:eastAsia="Calibri" w:cstheme="minorHAnsi"/>
            <w:sz w:val="24"/>
            <w:szCs w:val="24"/>
          </w:rPr>
          <w:t>LSCL-R-6</w:t>
        </w:r>
      </w:hyperlink>
      <w:r w:rsidR="006F646F" w:rsidRPr="0041791D">
        <w:rPr>
          <w:rFonts w:eastAsia="Calibri" w:cstheme="minorHAnsi"/>
          <w:sz w:val="24"/>
          <w:szCs w:val="24"/>
        </w:rPr>
        <w:t xml:space="preserve">: </w:t>
      </w:r>
      <w:r w:rsidR="006F646F" w:rsidRPr="0041791D">
        <w:rPr>
          <w:rFonts w:eastAsia="Calibri" w:cstheme="minorHAnsi"/>
          <w:iCs/>
          <w:sz w:val="24"/>
          <w:szCs w:val="24"/>
        </w:rPr>
        <w:t xml:space="preserve">The County should clarify when formal approval of Cell 6 as a disposal area was </w:t>
      </w:r>
      <w:r w:rsidR="006F646F">
        <w:rPr>
          <w:rFonts w:eastAsia="Calibri" w:cstheme="minorHAnsi"/>
          <w:iCs/>
          <w:sz w:val="24"/>
          <w:szCs w:val="24"/>
        </w:rPr>
        <w:t>granted.</w:t>
      </w:r>
      <w:commentRangeStart w:id="96"/>
      <w:commentRangeEnd w:id="96"/>
      <w:r w:rsidR="006F646F">
        <w:rPr>
          <w:rStyle w:val="CommentReference"/>
          <w:rFonts w:ascii="Palatino Linotype" w:hAnsi="Palatino Linotype"/>
        </w:rPr>
        <w:commentReference w:id="96"/>
      </w:r>
      <w:r w:rsidR="006F646F">
        <w:rPr>
          <w:rFonts w:ascii="Times New Roman" w:hAnsi="Times New Roman" w:cs="Times New Roman"/>
          <w:sz w:val="24"/>
          <w:szCs w:val="24"/>
        </w:rPr>
        <w:t xml:space="preserve"> </w:t>
      </w:r>
    </w:p>
    <w:p w14:paraId="31387B1B" w14:textId="77777777" w:rsidR="0007732C" w:rsidRPr="0007732C" w:rsidRDefault="0007732C" w:rsidP="0007732C">
      <w:pPr>
        <w:spacing w:after="0" w:line="240" w:lineRule="auto"/>
        <w:rPr>
          <w:rFonts w:ascii="Times New Roman" w:hAnsi="Times New Roman" w:cs="Times New Roman"/>
          <w:sz w:val="24"/>
          <w:szCs w:val="24"/>
        </w:rPr>
      </w:pPr>
    </w:p>
    <w:p w14:paraId="36BA8A85" w14:textId="77777777" w:rsidR="006F646F" w:rsidRPr="0041791D" w:rsidRDefault="00415FF3" w:rsidP="006F646F">
      <w:pPr>
        <w:rPr>
          <w:rFonts w:eastAsia="Calibri" w:cstheme="minorHAnsi"/>
          <w:sz w:val="24"/>
          <w:szCs w:val="24"/>
        </w:rPr>
      </w:pPr>
      <w:hyperlink w:anchor="_Intake_Volume" w:history="1">
        <w:r w:rsidR="006F646F" w:rsidRPr="0041791D">
          <w:rPr>
            <w:rStyle w:val="Hyperlink"/>
            <w:rFonts w:eastAsia="Calibri" w:cstheme="minorHAnsi"/>
            <w:sz w:val="24"/>
            <w:szCs w:val="24"/>
          </w:rPr>
          <w:t>LSCL-R-7</w:t>
        </w:r>
      </w:hyperlink>
      <w:r w:rsidR="006F646F" w:rsidRPr="0041791D">
        <w:rPr>
          <w:rFonts w:eastAsia="Calibri" w:cstheme="minorHAnsi"/>
          <w:sz w:val="24"/>
          <w:szCs w:val="24"/>
        </w:rPr>
        <w:t xml:space="preserve">: The Benton County Solid Waste Advisory Council (SWAC) should review all future Coffin Butte Annual Reports relative to past reports and official approvals, in particular with regard to intake volume, landfill traffic volume (both Municipal Solid </w:t>
      </w:r>
      <w:proofErr w:type="gramStart"/>
      <w:r w:rsidR="006F646F" w:rsidRPr="0041791D">
        <w:rPr>
          <w:rFonts w:eastAsia="Calibri" w:cstheme="minorHAnsi"/>
          <w:sz w:val="24"/>
          <w:szCs w:val="24"/>
        </w:rPr>
        <w:t>Waste  and</w:t>
      </w:r>
      <w:proofErr w:type="gramEnd"/>
      <w:r w:rsidR="006F646F" w:rsidRPr="0041791D">
        <w:rPr>
          <w:rFonts w:eastAsia="Calibri" w:cstheme="minorHAnsi"/>
          <w:sz w:val="24"/>
          <w:szCs w:val="24"/>
        </w:rPr>
        <w:t xml:space="preserve"> leachate transport), expected Landfill Life and EOL, and total and remaining Permitted Space. SWAC should report these findings to the BOC for consideration.</w:t>
      </w:r>
    </w:p>
    <w:p w14:paraId="2D60E07E" w14:textId="77777777" w:rsidR="006F646F" w:rsidRDefault="00415FF3" w:rsidP="006F646F">
      <w:pPr>
        <w:spacing w:after="0" w:line="240" w:lineRule="auto"/>
        <w:rPr>
          <w:rFonts w:ascii="Times New Roman" w:hAnsi="Times New Roman" w:cs="Times New Roman"/>
          <w:sz w:val="24"/>
          <w:szCs w:val="24"/>
        </w:rPr>
      </w:pPr>
      <w:hyperlink w:anchor="_Intake_Volume" w:history="1">
        <w:r w:rsidR="006F646F" w:rsidRPr="0041791D">
          <w:rPr>
            <w:rStyle w:val="Hyperlink"/>
            <w:rFonts w:eastAsia="Calibri" w:cstheme="minorHAnsi"/>
            <w:sz w:val="24"/>
            <w:szCs w:val="24"/>
          </w:rPr>
          <w:t>LSCL-R-8</w:t>
        </w:r>
      </w:hyperlink>
      <w:r w:rsidR="006F646F" w:rsidRPr="0041791D">
        <w:rPr>
          <w:rFonts w:eastAsia="Calibri" w:cstheme="minorHAnsi"/>
          <w:sz w:val="24"/>
          <w:szCs w:val="24"/>
        </w:rPr>
        <w:t xml:space="preserve">: Benton County should secure information from Republic Services about </w:t>
      </w:r>
      <w:r w:rsidR="006F646F" w:rsidRPr="0041791D">
        <w:rPr>
          <w:rFonts w:eastAsia="Calibri" w:cstheme="minorHAnsi"/>
          <w:iCs/>
          <w:sz w:val="24"/>
          <w:szCs w:val="24"/>
        </w:rPr>
        <w:t xml:space="preserve">the Annual Tonnage figures for presentation to SWAC/DSAC as soon as they are available, and not wait to include them for the first time in the </w:t>
      </w:r>
      <w:r w:rsidR="006F646F">
        <w:rPr>
          <w:rFonts w:eastAsia="Calibri" w:cstheme="minorHAnsi"/>
          <w:iCs/>
          <w:sz w:val="24"/>
          <w:szCs w:val="24"/>
        </w:rPr>
        <w:t>Annual Report.</w:t>
      </w:r>
      <w:commentRangeStart w:id="97"/>
      <w:commentRangeEnd w:id="97"/>
      <w:r w:rsidR="006F646F">
        <w:rPr>
          <w:rStyle w:val="CommentReference"/>
          <w:rFonts w:ascii="Palatino Linotype" w:hAnsi="Palatino Linotype"/>
        </w:rPr>
        <w:commentReference w:id="97"/>
      </w:r>
      <w:r w:rsidR="006F646F">
        <w:rPr>
          <w:rFonts w:ascii="Times New Roman" w:hAnsi="Times New Roman" w:cs="Times New Roman"/>
          <w:sz w:val="24"/>
          <w:szCs w:val="24"/>
        </w:rPr>
        <w:t xml:space="preserve"> </w:t>
      </w:r>
    </w:p>
    <w:p w14:paraId="789102E2" w14:textId="77777777" w:rsidR="006F646F" w:rsidRPr="00DE578A" w:rsidRDefault="006F646F" w:rsidP="006F646F">
      <w:pPr>
        <w:spacing w:after="0" w:line="240" w:lineRule="auto"/>
        <w:rPr>
          <w:rFonts w:ascii="Times New Roman" w:hAnsi="Times New Roman" w:cs="Times New Roman"/>
          <w:sz w:val="24"/>
          <w:szCs w:val="24"/>
        </w:rPr>
      </w:pPr>
    </w:p>
    <w:p w14:paraId="6E289262" w14:textId="306CD4D3" w:rsidR="006F646F" w:rsidRDefault="006F646F" w:rsidP="006F646F">
      <w:pPr>
        <w:spacing w:after="0" w:line="240" w:lineRule="auto"/>
        <w:rPr>
          <w:rFonts w:ascii="Times New Roman" w:hAnsi="Times New Roman" w:cs="Times New Roman"/>
          <w:sz w:val="24"/>
          <w:szCs w:val="24"/>
        </w:rPr>
      </w:pPr>
      <w:r w:rsidRPr="00AA677F">
        <w:rPr>
          <w:rFonts w:cstheme="minorHAnsi"/>
          <w:sz w:val="24"/>
          <w:szCs w:val="24"/>
        </w:rPr>
        <w:t>LSCL-R-</w:t>
      </w:r>
      <w:r w:rsidR="00356A0C">
        <w:rPr>
          <w:rFonts w:cstheme="minorHAnsi"/>
          <w:sz w:val="24"/>
          <w:szCs w:val="24"/>
        </w:rPr>
        <w:t>9</w:t>
      </w:r>
      <w:r w:rsidRPr="00AA677F">
        <w:rPr>
          <w:rFonts w:cstheme="minorHAnsi"/>
          <w:sz w:val="24"/>
          <w:szCs w:val="24"/>
        </w:rPr>
        <w:t xml:space="preserve">: The baseline scenarios laid out in this report assume that landfilling will continue as it is doing today for the next 16 years. That expectation should be tempered by signals of factors that can reshape Coffin Butte Landfill's social and regulatory </w:t>
      </w:r>
      <w:proofErr w:type="gramStart"/>
      <w:r w:rsidRPr="00AA677F">
        <w:rPr>
          <w:rFonts w:cstheme="minorHAnsi"/>
          <w:sz w:val="24"/>
          <w:szCs w:val="24"/>
        </w:rPr>
        <w:t>landscape,</w:t>
      </w:r>
      <w:proofErr w:type="gramEnd"/>
      <w:r w:rsidRPr="00AA677F">
        <w:rPr>
          <w:rFonts w:cstheme="minorHAnsi"/>
          <w:sz w:val="24"/>
          <w:szCs w:val="24"/>
        </w:rPr>
        <w:t xml:space="preserve"> especially environmental considerations related to the climate crisis. This reshaping is something that Benton County can participate in, on behalf of its citizens, as the landfill’s permitted volume is </w:t>
      </w:r>
      <w:r>
        <w:rPr>
          <w:rFonts w:cstheme="minorHAnsi"/>
          <w:sz w:val="24"/>
          <w:szCs w:val="24"/>
        </w:rPr>
        <w:t>filled.</w:t>
      </w:r>
      <w:commentRangeStart w:id="98"/>
      <w:commentRangeEnd w:id="98"/>
      <w:r>
        <w:rPr>
          <w:rStyle w:val="CommentReference"/>
          <w:rFonts w:ascii="Palatino Linotype" w:hAnsi="Palatino Linotype"/>
        </w:rPr>
        <w:commentReference w:id="98"/>
      </w:r>
      <w:r>
        <w:rPr>
          <w:rFonts w:ascii="Times New Roman" w:hAnsi="Times New Roman" w:cs="Times New Roman"/>
          <w:sz w:val="24"/>
          <w:szCs w:val="24"/>
        </w:rPr>
        <w:t xml:space="preserve"> </w:t>
      </w:r>
    </w:p>
    <w:p w14:paraId="57D94444" w14:textId="451CC729" w:rsidR="00676271" w:rsidRDefault="00676271" w:rsidP="006F646F">
      <w:pPr>
        <w:spacing w:after="0" w:line="240" w:lineRule="auto"/>
        <w:rPr>
          <w:rFonts w:ascii="Times New Roman" w:hAnsi="Times New Roman" w:cs="Times New Roman"/>
          <w:sz w:val="24"/>
          <w:szCs w:val="24"/>
        </w:rPr>
      </w:pPr>
    </w:p>
    <w:p w14:paraId="5FB544F9" w14:textId="7CA72C01" w:rsidR="006F646F" w:rsidRDefault="00676271" w:rsidP="006F646F">
      <w:pPr>
        <w:spacing w:after="0" w:line="240" w:lineRule="auto"/>
        <w:rPr>
          <w:rFonts w:ascii="Times New Roman" w:hAnsi="Times New Roman" w:cs="Times New Roman"/>
          <w:sz w:val="24"/>
          <w:szCs w:val="24"/>
        </w:rPr>
      </w:pPr>
      <w:r w:rsidRPr="00676271">
        <w:rPr>
          <w:rFonts w:ascii="Times New Roman" w:hAnsi="Times New Roman" w:cs="Times New Roman"/>
          <w:sz w:val="24"/>
          <w:szCs w:val="24"/>
        </w:rPr>
        <w:t>LSCL-R-</w:t>
      </w:r>
      <w:r w:rsidR="00356A0C">
        <w:rPr>
          <w:rFonts w:ascii="Times New Roman" w:hAnsi="Times New Roman" w:cs="Times New Roman"/>
          <w:sz w:val="24"/>
          <w:szCs w:val="24"/>
        </w:rPr>
        <w:t>10</w:t>
      </w:r>
      <w:r w:rsidRPr="00676271">
        <w:rPr>
          <w:rFonts w:ascii="Times New Roman" w:hAnsi="Times New Roman" w:cs="Times New Roman"/>
          <w:sz w:val="24"/>
          <w:szCs w:val="24"/>
        </w:rPr>
        <w:t>: Benton County should take steps to acquire better information about the methane emissions of Coffin Butte Landfill, because the landfill’s emissions are currently not well-characterized</w:t>
      </w:r>
      <w:r w:rsidR="007C620F" w:rsidRPr="007C620F">
        <w:t xml:space="preserve"> </w:t>
      </w:r>
      <w:r w:rsidR="007C620F" w:rsidRPr="007C620F">
        <w:rPr>
          <w:rFonts w:ascii="Times New Roman" w:hAnsi="Times New Roman" w:cs="Times New Roman"/>
          <w:sz w:val="24"/>
          <w:szCs w:val="24"/>
        </w:rPr>
        <w:t>and use this information to guide diversion programs that could limit the amount of organic waste going to the Landfill.</w:t>
      </w:r>
    </w:p>
    <w:p w14:paraId="1508124E" w14:textId="77777777" w:rsidR="007C620F" w:rsidRPr="00A60875" w:rsidRDefault="007C620F" w:rsidP="006F646F">
      <w:pPr>
        <w:spacing w:after="0" w:line="240" w:lineRule="auto"/>
        <w:rPr>
          <w:rFonts w:ascii="Times New Roman" w:hAnsi="Times New Roman" w:cs="Times New Roman"/>
          <w:sz w:val="24"/>
          <w:szCs w:val="24"/>
        </w:rPr>
      </w:pPr>
    </w:p>
    <w:p w14:paraId="4823FC44" w14:textId="4B291B47" w:rsidR="006F646F" w:rsidRPr="00AA677F" w:rsidRDefault="006F646F" w:rsidP="006F646F">
      <w:pPr>
        <w:rPr>
          <w:rFonts w:cstheme="minorHAnsi"/>
          <w:sz w:val="24"/>
          <w:szCs w:val="24"/>
        </w:rPr>
      </w:pPr>
      <w:r w:rsidRPr="00AA677F">
        <w:rPr>
          <w:rFonts w:cstheme="minorHAnsi"/>
          <w:sz w:val="24"/>
          <w:szCs w:val="24"/>
        </w:rPr>
        <w:t>LSCL-R-</w:t>
      </w:r>
      <w:r w:rsidR="00356A0C">
        <w:rPr>
          <w:rFonts w:cstheme="minorHAnsi"/>
          <w:sz w:val="24"/>
          <w:szCs w:val="24"/>
        </w:rPr>
        <w:t>11</w:t>
      </w:r>
      <w:r w:rsidRPr="00AA677F">
        <w:rPr>
          <w:rFonts w:cstheme="minorHAnsi"/>
          <w:sz w:val="24"/>
          <w:szCs w:val="24"/>
        </w:rPr>
        <w:t xml:space="preserve">: In its current actions and in concert with its Sustainable Materials Management Plan, the County should be aware of and prepare for changes in Coffin Butte Landfill's social and regulatory landscape, as the future could hold significant opportunities for the County and affiliated organizations to bring waste management closer to the County’s goals and values. </w:t>
      </w:r>
    </w:p>
    <w:p w14:paraId="2791A78D" w14:textId="480F7DB1" w:rsidR="006F646F" w:rsidRPr="007E6DA1" w:rsidRDefault="006F646F" w:rsidP="006F646F">
      <w:pPr>
        <w:spacing w:after="0" w:line="240" w:lineRule="auto"/>
        <w:rPr>
          <w:rFonts w:cstheme="minorHAnsi"/>
          <w:sz w:val="24"/>
          <w:szCs w:val="24"/>
        </w:rPr>
      </w:pPr>
      <w:r w:rsidRPr="00AA677F">
        <w:rPr>
          <w:rFonts w:cstheme="minorHAnsi"/>
          <w:sz w:val="24"/>
          <w:szCs w:val="24"/>
        </w:rPr>
        <w:t>LSCL-R-</w:t>
      </w:r>
      <w:r w:rsidR="00356A0C">
        <w:rPr>
          <w:rFonts w:cstheme="minorHAnsi"/>
          <w:sz w:val="24"/>
          <w:szCs w:val="24"/>
        </w:rPr>
        <w:t>12</w:t>
      </w:r>
      <w:r w:rsidRPr="00AA677F">
        <w:rPr>
          <w:rFonts w:cstheme="minorHAnsi"/>
          <w:sz w:val="24"/>
          <w:szCs w:val="24"/>
        </w:rPr>
        <w:t xml:space="preserve">: Benton County should keep in mind that the most effective way to curtail a landfill’s greenhouse gas emissions is to divert organic material from being landfilled. This can inform County and area-wide </w:t>
      </w:r>
      <w:r w:rsidRPr="007E6DA1">
        <w:rPr>
          <w:rFonts w:cstheme="minorHAnsi"/>
          <w:sz w:val="24"/>
          <w:szCs w:val="24"/>
        </w:rPr>
        <w:t>decisions regarding recycling, composting, food waste, and other initiatives affecting how the landfill’s permitted volume is filled.</w:t>
      </w:r>
      <w:commentRangeStart w:id="99"/>
      <w:commentRangeEnd w:id="99"/>
      <w:r w:rsidRPr="007E6DA1">
        <w:rPr>
          <w:rStyle w:val="CommentReference"/>
          <w:rFonts w:cstheme="minorHAnsi"/>
        </w:rPr>
        <w:commentReference w:id="99"/>
      </w:r>
      <w:commentRangeStart w:id="100"/>
      <w:commentRangeEnd w:id="100"/>
      <w:r w:rsidRPr="007E6DA1">
        <w:rPr>
          <w:rStyle w:val="CommentReference"/>
          <w:rFonts w:cstheme="minorHAnsi"/>
        </w:rPr>
        <w:commentReference w:id="100"/>
      </w:r>
      <w:r w:rsidRPr="007E6DA1">
        <w:rPr>
          <w:rFonts w:cstheme="minorHAnsi"/>
          <w:sz w:val="24"/>
          <w:szCs w:val="24"/>
        </w:rPr>
        <w:t xml:space="preserve"> </w:t>
      </w:r>
    </w:p>
    <w:p w14:paraId="19D5A6D0" w14:textId="77777777" w:rsidR="006F646F" w:rsidRPr="007E6DA1" w:rsidRDefault="006F646F" w:rsidP="006F646F">
      <w:pPr>
        <w:rPr>
          <w:rFonts w:cstheme="minorHAnsi"/>
          <w:sz w:val="24"/>
          <w:szCs w:val="24"/>
        </w:rPr>
      </w:pPr>
    </w:p>
    <w:p w14:paraId="346D4431" w14:textId="77777777" w:rsidR="006F646F" w:rsidRPr="007E6DA1" w:rsidRDefault="006F646F" w:rsidP="006F646F">
      <w:pPr>
        <w:rPr>
          <w:rFonts w:cstheme="minorHAnsi"/>
          <w:sz w:val="24"/>
          <w:szCs w:val="24"/>
        </w:rPr>
      </w:pPr>
    </w:p>
    <w:p w14:paraId="5EDDE257" w14:textId="77777777" w:rsidR="006F646F" w:rsidRPr="007E6DA1" w:rsidRDefault="006F646F" w:rsidP="006F646F">
      <w:pPr>
        <w:rPr>
          <w:rFonts w:cstheme="minorHAnsi"/>
          <w:sz w:val="24"/>
          <w:szCs w:val="24"/>
        </w:rPr>
      </w:pPr>
    </w:p>
    <w:p w14:paraId="01411BF2" w14:textId="77777777" w:rsidR="006F646F" w:rsidRPr="007E6DA1" w:rsidRDefault="006F646F" w:rsidP="006F646F">
      <w:pPr>
        <w:rPr>
          <w:rFonts w:cstheme="minorHAnsi"/>
          <w:sz w:val="24"/>
          <w:szCs w:val="24"/>
        </w:rPr>
      </w:pPr>
    </w:p>
    <w:p w14:paraId="39D9BB73" w14:textId="77777777" w:rsidR="006F646F" w:rsidRPr="007E6DA1" w:rsidRDefault="006F646F" w:rsidP="006F646F">
      <w:pPr>
        <w:rPr>
          <w:rFonts w:cstheme="minorHAnsi"/>
          <w:sz w:val="24"/>
          <w:szCs w:val="24"/>
        </w:rPr>
      </w:pPr>
    </w:p>
    <w:p w14:paraId="70F90EE1" w14:textId="77777777" w:rsidR="006F646F" w:rsidRPr="007E6DA1" w:rsidRDefault="006F646F" w:rsidP="006F646F">
      <w:pPr>
        <w:rPr>
          <w:rFonts w:cstheme="minorHAnsi"/>
          <w:sz w:val="24"/>
          <w:szCs w:val="24"/>
        </w:rPr>
      </w:pPr>
    </w:p>
    <w:p w14:paraId="1DBCCCD2" w14:textId="77777777" w:rsidR="006F646F" w:rsidRPr="007E6DA1" w:rsidRDefault="006F646F" w:rsidP="006F646F">
      <w:pPr>
        <w:rPr>
          <w:rFonts w:cstheme="minorHAnsi"/>
          <w:sz w:val="24"/>
          <w:szCs w:val="24"/>
        </w:rPr>
      </w:pPr>
    </w:p>
    <w:p w14:paraId="6F0A4A29" w14:textId="77777777" w:rsidR="006F646F" w:rsidRPr="007E6DA1" w:rsidRDefault="006F646F" w:rsidP="006F646F">
      <w:pPr>
        <w:rPr>
          <w:rFonts w:cstheme="minorHAnsi"/>
          <w:sz w:val="24"/>
          <w:szCs w:val="24"/>
        </w:rPr>
      </w:pPr>
    </w:p>
    <w:p w14:paraId="78CBF7BC" w14:textId="77777777" w:rsidR="006F646F" w:rsidRPr="0041791D" w:rsidRDefault="006F646F" w:rsidP="006F646F">
      <w:pPr>
        <w:rPr>
          <w:rFonts w:eastAsia="Times New Roman" w:cstheme="minorHAnsi"/>
          <w:color w:val="2E74B5"/>
          <w:sz w:val="24"/>
          <w:szCs w:val="24"/>
        </w:rPr>
      </w:pPr>
    </w:p>
    <w:p w14:paraId="43EBD66A" w14:textId="77777777" w:rsidR="006F646F" w:rsidRPr="0041791D" w:rsidRDefault="006F646F" w:rsidP="006F646F">
      <w:pPr>
        <w:rPr>
          <w:rFonts w:eastAsia="Times New Roman" w:cstheme="minorHAnsi"/>
          <w:color w:val="2E74B5"/>
          <w:sz w:val="24"/>
          <w:szCs w:val="24"/>
        </w:rPr>
      </w:pPr>
    </w:p>
    <w:p w14:paraId="18A4A9A6" w14:textId="77777777" w:rsidR="00356A0C" w:rsidRDefault="00356A0C">
      <w:pPr>
        <w:rPr>
          <w:rFonts w:eastAsia="Times New Roman" w:cstheme="minorHAnsi"/>
          <w:color w:val="2E74B5"/>
          <w:sz w:val="24"/>
          <w:szCs w:val="24"/>
        </w:rPr>
      </w:pPr>
      <w:bookmarkStart w:id="101" w:name="_Toc128666864"/>
      <w:bookmarkStart w:id="102" w:name="_Toc129256699"/>
      <w:r>
        <w:rPr>
          <w:rFonts w:cstheme="minorHAnsi"/>
          <w:sz w:val="24"/>
          <w:szCs w:val="24"/>
        </w:rPr>
        <w:br w:type="page"/>
      </w:r>
    </w:p>
    <w:p w14:paraId="498D88BC" w14:textId="1555D3A2" w:rsidR="006F646F" w:rsidRDefault="006F646F" w:rsidP="006F646F">
      <w:pPr>
        <w:pStyle w:val="Heading2"/>
        <w:rPr>
          <w:rFonts w:asciiTheme="minorHAnsi" w:hAnsiTheme="minorHAnsi" w:cstheme="minorHAnsi"/>
          <w:sz w:val="24"/>
          <w:szCs w:val="24"/>
        </w:rPr>
      </w:pPr>
      <w:r w:rsidRPr="0041791D">
        <w:rPr>
          <w:rFonts w:asciiTheme="minorHAnsi" w:hAnsiTheme="minorHAnsi" w:cstheme="minorHAnsi"/>
          <w:sz w:val="24"/>
          <w:szCs w:val="24"/>
        </w:rPr>
        <w:t>Executive Summary</w:t>
      </w:r>
      <w:bookmarkEnd w:id="101"/>
      <w:bookmarkEnd w:id="102"/>
    </w:p>
    <w:p w14:paraId="55C3612C" w14:textId="77777777" w:rsidR="006F646F" w:rsidRPr="007E6DA1" w:rsidRDefault="006F646F" w:rsidP="006F646F">
      <w:pPr>
        <w:rPr>
          <w:sz w:val="24"/>
          <w:szCs w:val="24"/>
        </w:rPr>
      </w:pPr>
      <w:r w:rsidRPr="007E6DA1">
        <w:rPr>
          <w:sz w:val="24"/>
          <w:szCs w:val="24"/>
        </w:rPr>
        <w:t>The current landfill activities north of Coffin Butte Road consist of a total of 194 acres, with 6 cells used currently for disposal of waste.</w:t>
      </w:r>
    </w:p>
    <w:p w14:paraId="4373BCC3" w14:textId="77777777" w:rsidR="006F646F" w:rsidRPr="007E6DA1" w:rsidRDefault="006F646F" w:rsidP="006F646F">
      <w:pPr>
        <w:rPr>
          <w:sz w:val="24"/>
          <w:szCs w:val="24"/>
        </w:rPr>
      </w:pPr>
      <w:r w:rsidRPr="007E6DA1">
        <w:rPr>
          <w:sz w:val="24"/>
          <w:szCs w:val="24"/>
        </w:rPr>
        <w:t xml:space="preserve">In 2003 the End of Life “EOL” of Coffin Butte Landfill was projected to be approximately to year 2074, with a Landfill Life estimate of 71 years.  </w:t>
      </w:r>
    </w:p>
    <w:p w14:paraId="4A1D4E45" w14:textId="77777777" w:rsidR="006F646F" w:rsidRPr="007E6DA1" w:rsidRDefault="006F646F" w:rsidP="006F646F">
      <w:pPr>
        <w:rPr>
          <w:sz w:val="24"/>
          <w:szCs w:val="24"/>
        </w:rPr>
      </w:pPr>
      <w:r w:rsidRPr="007E6DA1">
        <w:rPr>
          <w:sz w:val="24"/>
          <w:szCs w:val="24"/>
        </w:rPr>
        <w:t>In 2013 EOL was projected to be years 2053-2062, with a Landfill Life estimate of 40-49 years.</w:t>
      </w:r>
    </w:p>
    <w:p w14:paraId="61508734" w14:textId="77777777" w:rsidR="006F646F" w:rsidRPr="007E6DA1" w:rsidRDefault="006F646F" w:rsidP="006F646F">
      <w:pPr>
        <w:rPr>
          <w:sz w:val="24"/>
          <w:szCs w:val="24"/>
        </w:rPr>
      </w:pPr>
      <w:r w:rsidRPr="007E6DA1">
        <w:rPr>
          <w:sz w:val="24"/>
          <w:szCs w:val="24"/>
        </w:rPr>
        <w:t xml:space="preserve">In </w:t>
      </w:r>
      <w:proofErr w:type="gramStart"/>
      <w:r w:rsidRPr="007E6DA1">
        <w:rPr>
          <w:sz w:val="24"/>
          <w:szCs w:val="24"/>
        </w:rPr>
        <w:t>the  current</w:t>
      </w:r>
      <w:proofErr w:type="gramEnd"/>
      <w:r w:rsidRPr="007E6DA1">
        <w:rPr>
          <w:sz w:val="24"/>
          <w:szCs w:val="24"/>
        </w:rPr>
        <w:t xml:space="preserve"> year of 2023 the EOL is projected  to be years 2037 -2039,  with a landfill life estimate of 14-16 years.</w:t>
      </w:r>
    </w:p>
    <w:p w14:paraId="695FC36F" w14:textId="77777777" w:rsidR="006F646F" w:rsidRPr="007E6DA1" w:rsidRDefault="006F646F" w:rsidP="006F646F">
      <w:pPr>
        <w:rPr>
          <w:sz w:val="24"/>
          <w:szCs w:val="24"/>
        </w:rPr>
      </w:pPr>
      <w:r w:rsidRPr="007E6DA1">
        <w:rPr>
          <w:sz w:val="24"/>
          <w:szCs w:val="24"/>
        </w:rPr>
        <w:t xml:space="preserve">The above landfill progression is a linear economy model that represents a waste management approach in which waste is generated, collected, and disposed of in a linear manner, without much emphasis on resource recovery or reuse. This approach is often characterized by a "take-make-dispose" model, where resources are extracted, processed into products, used, and then discarded as waste by society. </w:t>
      </w:r>
    </w:p>
    <w:p w14:paraId="19D96898" w14:textId="77777777" w:rsidR="006F646F" w:rsidRPr="007E6DA1" w:rsidRDefault="006F646F" w:rsidP="006F646F">
      <w:pPr>
        <w:rPr>
          <w:sz w:val="24"/>
          <w:szCs w:val="24"/>
        </w:rPr>
      </w:pPr>
      <w:r w:rsidRPr="007E6DA1">
        <w:rPr>
          <w:sz w:val="24"/>
          <w:szCs w:val="24"/>
        </w:rPr>
        <w:t xml:space="preserve">The linear model of a landfill economy is being replaced by more sustainable models, such as the circular economy. In a circular economy, waste is minimized by prioritizing waste reduction and recycling, and by designing products and processes with a focus on sustainability and longevity. In this model, waste is seen as a valuable resource that can be reused, repurposed, or recycled, rather than being discarded into a landfill. </w:t>
      </w:r>
    </w:p>
    <w:p w14:paraId="448E5EF1" w14:textId="000CF6D6" w:rsidR="006F646F" w:rsidRPr="007E6DA1" w:rsidRDefault="006F646F" w:rsidP="006F646F">
      <w:pPr>
        <w:rPr>
          <w:sz w:val="24"/>
          <w:szCs w:val="24"/>
        </w:rPr>
      </w:pPr>
      <w:r w:rsidRPr="007E6DA1">
        <w:rPr>
          <w:sz w:val="24"/>
          <w:szCs w:val="24"/>
        </w:rPr>
        <w:t xml:space="preserve">This approach supports the solid waste management plan of Benton County working shoulder to shoulder with a sustainable materials management plan being developed by Benton County Community Development in conjunction with Oregon Department of Environmental Services, members of Benton County, as well neighboring Counties and municipality using Republic Services waste management services. </w:t>
      </w:r>
    </w:p>
    <w:p w14:paraId="24DD2795" w14:textId="77777777" w:rsidR="006F646F" w:rsidRPr="007E6DA1" w:rsidRDefault="006F646F" w:rsidP="006F646F">
      <w:pPr>
        <w:rPr>
          <w:sz w:val="24"/>
          <w:szCs w:val="24"/>
        </w:rPr>
      </w:pPr>
      <w:r w:rsidRPr="007E6DA1">
        <w:rPr>
          <w:sz w:val="24"/>
          <w:szCs w:val="24"/>
        </w:rPr>
        <w:t xml:space="preserve"> In Republic Services 2021 Sustainability Report, Jon Vander Ark, </w:t>
      </w:r>
      <w:proofErr w:type="gramStart"/>
      <w:r w:rsidRPr="007E6DA1">
        <w:rPr>
          <w:sz w:val="24"/>
          <w:szCs w:val="24"/>
        </w:rPr>
        <w:t>President</w:t>
      </w:r>
      <w:proofErr w:type="gramEnd"/>
      <w:r w:rsidRPr="007E6DA1">
        <w:rPr>
          <w:sz w:val="24"/>
          <w:szCs w:val="24"/>
        </w:rPr>
        <w:t xml:space="preserve"> and Chief Executive Officer reports, “This is our company vision, which is intentionally ambitious because we believe we are uniquely positioned to help our customers achieve their own sustainability goals. That commitment begins with our Elements of Sustainability – Safety, Talent, Climate Leadership and Communities – and these elements anchor our 2030 sustainability goals”.</w:t>
      </w:r>
    </w:p>
    <w:p w14:paraId="53444569" w14:textId="400B3629" w:rsidR="006F646F" w:rsidRPr="007E6DA1" w:rsidRDefault="006F646F" w:rsidP="00DA15AE">
      <w:pPr>
        <w:rPr>
          <w:sz w:val="24"/>
          <w:szCs w:val="24"/>
        </w:rPr>
      </w:pPr>
      <w:r w:rsidRPr="007E6DA1">
        <w:rPr>
          <w:sz w:val="24"/>
          <w:szCs w:val="24"/>
        </w:rPr>
        <w:t xml:space="preserve">The reader of this executive summary is encouraged to read further into </w:t>
      </w:r>
      <w:r w:rsidR="007E6DA1" w:rsidRPr="007E6DA1">
        <w:rPr>
          <w:sz w:val="24"/>
          <w:szCs w:val="24"/>
        </w:rPr>
        <w:t>s</w:t>
      </w:r>
      <w:r w:rsidRPr="007E6DA1">
        <w:rPr>
          <w:sz w:val="24"/>
          <w:szCs w:val="24"/>
        </w:rPr>
        <w:t xml:space="preserve">ubcommittee reports to appreciate the wealth of information the members of the community have brought forwarded in the short amount of time granted under the Benton County Talks Trash bridge approach </w:t>
      </w:r>
      <w:proofErr w:type="gramStart"/>
      <w:r w:rsidRPr="007E6DA1">
        <w:rPr>
          <w:sz w:val="24"/>
          <w:szCs w:val="24"/>
        </w:rPr>
        <w:t>into  a</w:t>
      </w:r>
      <w:proofErr w:type="gramEnd"/>
      <w:r w:rsidRPr="007E6DA1">
        <w:rPr>
          <w:sz w:val="24"/>
          <w:szCs w:val="24"/>
        </w:rPr>
        <w:t xml:space="preserve"> needed sustainable landfill economy and transportation plan for waste disposal.  </w:t>
      </w:r>
    </w:p>
    <w:p w14:paraId="09299552" w14:textId="77777777" w:rsidR="007E6DA1" w:rsidRPr="00DA15AE" w:rsidRDefault="007E6DA1" w:rsidP="00DA15AE"/>
    <w:p w14:paraId="7D27B584" w14:textId="77777777" w:rsidR="006F646F" w:rsidRPr="0041791D" w:rsidRDefault="006F646F" w:rsidP="006F646F">
      <w:pPr>
        <w:keepNext/>
        <w:keepLines/>
        <w:spacing w:after="240" w:line="240" w:lineRule="auto"/>
        <w:ind w:left="360"/>
        <w:outlineLvl w:val="0"/>
        <w:rPr>
          <w:rFonts w:eastAsia="Times New Roman" w:cstheme="minorHAnsi"/>
          <w:color w:val="2E74B5"/>
          <w:sz w:val="24"/>
          <w:szCs w:val="24"/>
          <w:u w:val="single"/>
        </w:rPr>
      </w:pPr>
      <w:r w:rsidRPr="0041791D">
        <w:rPr>
          <w:rFonts w:eastAsia="Times New Roman" w:cstheme="minorHAnsi"/>
          <w:color w:val="2E74B5"/>
          <w:sz w:val="24"/>
          <w:szCs w:val="24"/>
          <w:u w:val="single"/>
        </w:rPr>
        <w:t>Landfill Life Projections</w:t>
      </w:r>
    </w:p>
    <w:p w14:paraId="776B8A20" w14:textId="77777777" w:rsidR="006F646F" w:rsidRPr="0041791D" w:rsidRDefault="006F646F" w:rsidP="006F646F">
      <w:pPr>
        <w:keepNext/>
        <w:keepLines/>
        <w:numPr>
          <w:ilvl w:val="0"/>
          <w:numId w:val="25"/>
        </w:numPr>
        <w:spacing w:after="240" w:line="240" w:lineRule="auto"/>
        <w:outlineLvl w:val="1"/>
        <w:rPr>
          <w:rFonts w:eastAsia="Times New Roman" w:cstheme="minorHAnsi"/>
          <w:color w:val="2E74B5"/>
          <w:sz w:val="24"/>
          <w:szCs w:val="24"/>
        </w:rPr>
      </w:pPr>
      <w:r w:rsidRPr="0041791D">
        <w:rPr>
          <w:rFonts w:eastAsia="Times New Roman" w:cstheme="minorHAnsi"/>
          <w:color w:val="2E74B5"/>
          <w:sz w:val="24"/>
          <w:szCs w:val="24"/>
        </w:rPr>
        <w:t xml:space="preserve">Coffin Butte Site Life Projection: 2023 to closure </w:t>
      </w:r>
    </w:p>
    <w:p w14:paraId="739EF385" w14:textId="77777777" w:rsidR="006F646F" w:rsidRPr="0041791D" w:rsidRDefault="006F646F" w:rsidP="006F646F">
      <w:pPr>
        <w:ind w:left="360"/>
        <w:rPr>
          <w:rFonts w:eastAsia="Calibri" w:cstheme="minorHAnsi"/>
          <w:sz w:val="24"/>
          <w:szCs w:val="24"/>
        </w:rPr>
      </w:pPr>
      <w:r w:rsidRPr="0041791D">
        <w:rPr>
          <w:rFonts w:eastAsia="Times New Roman" w:cstheme="minorHAnsi"/>
          <w:sz w:val="24"/>
          <w:szCs w:val="24"/>
        </w:rPr>
        <w:t xml:space="preserve">The </w:t>
      </w:r>
      <w:r w:rsidRPr="0041791D">
        <w:rPr>
          <w:rFonts w:eastAsia="Calibri" w:cstheme="minorHAnsi"/>
          <w:sz w:val="24"/>
          <w:szCs w:val="24"/>
        </w:rPr>
        <w:t xml:space="preserve">landfill life projections shown below are provided Republic Services. They are designed to establish a baseline – a simple operational project that more sophisticated scenarios can be built upon. </w:t>
      </w:r>
    </w:p>
    <w:p w14:paraId="33F125EF" w14:textId="77777777" w:rsidR="006F646F" w:rsidRPr="0041791D" w:rsidRDefault="006F646F" w:rsidP="006F646F">
      <w:pPr>
        <w:ind w:left="360"/>
        <w:rPr>
          <w:rFonts w:eastAsia="Times New Roman" w:cstheme="minorHAnsi"/>
          <w:sz w:val="24"/>
          <w:szCs w:val="24"/>
        </w:rPr>
      </w:pPr>
      <w:r w:rsidRPr="0041791D">
        <w:rPr>
          <w:rFonts w:eastAsia="Times New Roman" w:cstheme="minorHAnsi"/>
          <w:sz w:val="24"/>
          <w:szCs w:val="24"/>
        </w:rPr>
        <w:t xml:space="preserve">It presumes: </w:t>
      </w:r>
    </w:p>
    <w:p w14:paraId="45491BF7" w14:textId="77777777" w:rsidR="006F646F" w:rsidRPr="0041791D" w:rsidRDefault="006F646F" w:rsidP="006F646F">
      <w:pPr>
        <w:pStyle w:val="ListParagraph"/>
        <w:numPr>
          <w:ilvl w:val="0"/>
          <w:numId w:val="28"/>
        </w:numPr>
        <w:spacing w:line="256" w:lineRule="auto"/>
        <w:rPr>
          <w:rFonts w:asciiTheme="minorHAnsi" w:eastAsia="Calibri" w:hAnsiTheme="minorHAnsi" w:cstheme="minorHAnsi"/>
          <w:sz w:val="24"/>
          <w:szCs w:val="24"/>
        </w:rPr>
      </w:pPr>
      <w:r w:rsidRPr="0041791D">
        <w:rPr>
          <w:rFonts w:asciiTheme="minorHAnsi" w:eastAsia="Calibri" w:hAnsiTheme="minorHAnsi" w:cstheme="minorHAnsi"/>
          <w:sz w:val="24"/>
          <w:szCs w:val="24"/>
        </w:rPr>
        <w:t>A steady annual tonnage intake of between 1 million and 1.1 million tons for the duration of the landfill’s projected remaining site life.</w:t>
      </w:r>
    </w:p>
    <w:p w14:paraId="20C299EA" w14:textId="77777777" w:rsidR="006F646F" w:rsidRPr="0041791D" w:rsidRDefault="006F646F" w:rsidP="006F646F">
      <w:pPr>
        <w:pStyle w:val="ListParagraph"/>
        <w:numPr>
          <w:ilvl w:val="0"/>
          <w:numId w:val="28"/>
        </w:numPr>
        <w:spacing w:line="256" w:lineRule="auto"/>
        <w:rPr>
          <w:rFonts w:asciiTheme="minorHAnsi" w:eastAsia="Calibri" w:hAnsiTheme="minorHAnsi" w:cstheme="minorHAnsi"/>
          <w:sz w:val="24"/>
          <w:szCs w:val="24"/>
        </w:rPr>
      </w:pPr>
      <w:r w:rsidRPr="0041791D">
        <w:rPr>
          <w:rFonts w:asciiTheme="minorHAnsi" w:eastAsia="Calibri" w:hAnsiTheme="minorHAnsi" w:cstheme="minorHAnsi"/>
          <w:sz w:val="24"/>
          <w:szCs w:val="24"/>
        </w:rPr>
        <w:t>Site life is currently projected by Republic Services to be between 14.5 and 16 years, with a closure date between 2037-2039.</w:t>
      </w:r>
    </w:p>
    <w:p w14:paraId="64976EE9" w14:textId="77777777" w:rsidR="006F646F" w:rsidRPr="0041791D" w:rsidRDefault="006F646F" w:rsidP="006F646F">
      <w:pPr>
        <w:pStyle w:val="ListParagraph"/>
        <w:rPr>
          <w:rFonts w:asciiTheme="minorHAnsi" w:eastAsia="Calibri" w:hAnsiTheme="minorHAnsi" w:cstheme="minorHAnsi"/>
          <w:sz w:val="24"/>
          <w:szCs w:val="24"/>
        </w:rPr>
      </w:pPr>
      <w:r w:rsidRPr="0041791D">
        <w:rPr>
          <w:rFonts w:asciiTheme="minorHAnsi" w:eastAsia="Calibri" w:hAnsiTheme="minorHAnsi" w:cstheme="minorHAnsi"/>
          <w:sz w:val="24"/>
          <w:szCs w:val="24"/>
        </w:rPr>
        <w:t>Note: This also presumes that the landfill area known as “the quarry” can be fully excavated. A significant portion of permitted airspace at Coffin Butte is currently unusable due to unexcavated rock.</w:t>
      </w:r>
    </w:p>
    <w:p w14:paraId="2086D6BC" w14:textId="77777777" w:rsidR="006F646F" w:rsidRPr="006B3F64" w:rsidRDefault="006F646F" w:rsidP="006F646F">
      <w:pPr>
        <w:pStyle w:val="ListParagraph"/>
        <w:numPr>
          <w:ilvl w:val="0"/>
          <w:numId w:val="28"/>
        </w:numPr>
        <w:spacing w:line="256" w:lineRule="auto"/>
        <w:rPr>
          <w:rFonts w:asciiTheme="minorHAnsi" w:eastAsia="Calibri" w:hAnsiTheme="minorHAnsi" w:cstheme="minorHAnsi"/>
          <w:sz w:val="24"/>
          <w:szCs w:val="24"/>
        </w:rPr>
      </w:pPr>
      <w:r w:rsidRPr="0041791D">
        <w:rPr>
          <w:rFonts w:asciiTheme="minorHAnsi" w:eastAsia="Calibri" w:hAnsiTheme="minorHAnsi" w:cstheme="minorHAnsi"/>
          <w:sz w:val="24"/>
          <w:szCs w:val="24"/>
        </w:rPr>
        <w:t>As indicated in the assumptions, this baseline is not a “default future,” in that it does not incorporate outside factors.</w:t>
      </w:r>
    </w:p>
    <w:p w14:paraId="6FE8A7F6" w14:textId="77777777" w:rsidR="006F646F" w:rsidRPr="006B3F64" w:rsidRDefault="006F646F" w:rsidP="006F646F">
      <w:pPr>
        <w:ind w:left="360"/>
        <w:rPr>
          <w:rFonts w:eastAsia="Calibri" w:cstheme="minorHAnsi"/>
          <w:i/>
          <w:color w:val="FF0000"/>
          <w:sz w:val="24"/>
          <w:szCs w:val="24"/>
        </w:rPr>
      </w:pPr>
      <w:r w:rsidRPr="0041791D">
        <w:rPr>
          <w:rFonts w:eastAsia="Calibri" w:cstheme="minorHAnsi"/>
          <w:noProof/>
          <w:sz w:val="24"/>
          <w:szCs w:val="24"/>
        </w:rPr>
        <w:drawing>
          <wp:inline distT="0" distB="0" distL="0" distR="0" wp14:anchorId="68E63E84" wp14:editId="63F93BCC">
            <wp:extent cx="4267200" cy="5676900"/>
            <wp:effectExtent l="0" t="0" r="0" b="0"/>
            <wp:docPr id="49" name="Picture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15"/>
                    <a:stretch>
                      <a:fillRect/>
                    </a:stretch>
                  </pic:blipFill>
                  <pic:spPr>
                    <a:xfrm>
                      <a:off x="0" y="0"/>
                      <a:ext cx="4476750" cy="5955676"/>
                    </a:xfrm>
                    <a:prstGeom prst="rect">
                      <a:avLst/>
                    </a:prstGeom>
                  </pic:spPr>
                </pic:pic>
              </a:graphicData>
            </a:graphic>
          </wp:inline>
        </w:drawing>
      </w:r>
    </w:p>
    <w:p w14:paraId="4B807503" w14:textId="77777777" w:rsidR="006F646F" w:rsidRPr="006B3F64" w:rsidRDefault="006F646F" w:rsidP="006F646F">
      <w:pPr>
        <w:ind w:left="360"/>
        <w:rPr>
          <w:rFonts w:eastAsia="Arial Unicode MS" w:cstheme="minorHAnsi"/>
          <w:color w:val="000000"/>
          <w:sz w:val="24"/>
          <w:szCs w:val="24"/>
          <w:bdr w:val="none" w:sz="0" w:space="0" w:color="auto" w:frame="1"/>
          <w14:textOutline w14:w="0" w14:cap="flat" w14:cmpd="sng" w14:algn="ctr">
            <w14:noFill/>
            <w14:prstDash w14:val="solid"/>
            <w14:bevel/>
          </w14:textOutline>
        </w:rPr>
      </w:pP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The table shown above represents industry-accepted modeling for estimating a Landfill’s remaining life. Modeling is based on three factors: remaining permitted airspace, volume, and density. As noted in the text below the graphic, Republic Services acknowledges that a wide variety of variables, independently or in concert with each other, can impact the baseline(s) enumerated above.</w:t>
      </w:r>
    </w:p>
    <w:p w14:paraId="1A15DC9E" w14:textId="77777777" w:rsidR="006F646F" w:rsidRPr="0041791D" w:rsidRDefault="006F646F" w:rsidP="006F646F">
      <w:pPr>
        <w:rPr>
          <w:rFonts w:eastAsia="Calibri" w:cstheme="minorHAnsi"/>
          <w:sz w:val="24"/>
          <w:szCs w:val="24"/>
        </w:rPr>
      </w:pPr>
    </w:p>
    <w:p w14:paraId="53BD5BC9" w14:textId="77777777" w:rsidR="006F646F" w:rsidRPr="0041791D" w:rsidRDefault="006F646F" w:rsidP="006F646F">
      <w:pPr>
        <w:keepNext/>
        <w:keepLines/>
        <w:numPr>
          <w:ilvl w:val="0"/>
          <w:numId w:val="25"/>
        </w:numPr>
        <w:spacing w:after="240" w:line="240" w:lineRule="auto"/>
        <w:outlineLvl w:val="1"/>
        <w:rPr>
          <w:rFonts w:eastAsia="Times New Roman" w:cstheme="minorHAnsi"/>
          <w:color w:val="2E74B5"/>
          <w:sz w:val="24"/>
          <w:szCs w:val="24"/>
        </w:rPr>
      </w:pPr>
      <w:r w:rsidRPr="0041791D">
        <w:rPr>
          <w:rFonts w:eastAsia="Times New Roman" w:cstheme="minorHAnsi"/>
          <w:color w:val="2E74B5"/>
          <w:sz w:val="24"/>
          <w:szCs w:val="24"/>
        </w:rPr>
        <w:t xml:space="preserve">Historical Landfill </w:t>
      </w:r>
      <w:commentRangeStart w:id="103"/>
      <w:r w:rsidRPr="0041791D">
        <w:rPr>
          <w:rFonts w:eastAsia="Times New Roman" w:cstheme="minorHAnsi"/>
          <w:color w:val="2E74B5"/>
          <w:sz w:val="24"/>
          <w:szCs w:val="24"/>
        </w:rPr>
        <w:t>Life</w:t>
      </w:r>
      <w:commentRangeEnd w:id="103"/>
      <w:r w:rsidRPr="0041791D">
        <w:rPr>
          <w:rFonts w:eastAsia="Times New Roman" w:cstheme="minorHAnsi"/>
          <w:color w:val="2E74B5"/>
          <w:sz w:val="24"/>
          <w:szCs w:val="24"/>
        </w:rPr>
        <w:commentReference w:id="103"/>
      </w:r>
      <w:r w:rsidRPr="0041791D">
        <w:rPr>
          <w:rFonts w:eastAsia="Times New Roman" w:cstheme="minorHAnsi"/>
          <w:color w:val="2E74B5"/>
          <w:sz w:val="24"/>
          <w:szCs w:val="24"/>
        </w:rPr>
        <w:t xml:space="preserve"> Projections</w:t>
      </w:r>
    </w:p>
    <w:p w14:paraId="22770550" w14:textId="77777777" w:rsidR="006F646F" w:rsidRPr="0041791D" w:rsidRDefault="006F646F" w:rsidP="006F646F">
      <w:pPr>
        <w:jc w:val="center"/>
        <w:rPr>
          <w:rFonts w:eastAsia="Calibri" w:cstheme="minorHAnsi"/>
          <w:sz w:val="24"/>
          <w:szCs w:val="24"/>
        </w:rPr>
      </w:pPr>
      <w:r w:rsidRPr="0041791D">
        <w:rPr>
          <w:rFonts w:eastAsia="Calibri" w:cstheme="minorHAnsi"/>
          <w:sz w:val="24"/>
          <w:szCs w:val="24"/>
        </w:rPr>
        <w:t xml:space="preserve">Figure </w:t>
      </w:r>
      <w:r>
        <w:rPr>
          <w:rFonts w:eastAsia="Calibri" w:cstheme="minorHAnsi"/>
          <w:sz w:val="24"/>
          <w:szCs w:val="24"/>
        </w:rPr>
        <w:fldChar w:fldCharType="begin"/>
      </w:r>
      <w:r>
        <w:rPr>
          <w:rFonts w:eastAsia="Calibri" w:cstheme="minorHAnsi"/>
          <w:sz w:val="24"/>
          <w:szCs w:val="24"/>
        </w:rPr>
        <w:instrText xml:space="preserve"> SEQ Figure \* ARABIC </w:instrText>
      </w:r>
      <w:r>
        <w:rPr>
          <w:rFonts w:eastAsia="Calibri" w:cstheme="minorHAnsi"/>
          <w:sz w:val="24"/>
          <w:szCs w:val="24"/>
        </w:rPr>
        <w:fldChar w:fldCharType="separate"/>
      </w:r>
      <w:r>
        <w:rPr>
          <w:rFonts w:eastAsia="Calibri" w:cstheme="minorHAnsi"/>
          <w:noProof/>
          <w:sz w:val="24"/>
          <w:szCs w:val="24"/>
        </w:rPr>
        <w:t>6</w:t>
      </w:r>
      <w:r>
        <w:rPr>
          <w:rFonts w:eastAsia="Calibri" w:cstheme="minorHAnsi"/>
          <w:sz w:val="24"/>
          <w:szCs w:val="24"/>
        </w:rPr>
        <w:fldChar w:fldCharType="end"/>
      </w:r>
      <w:r w:rsidRPr="0041791D">
        <w:rPr>
          <w:rFonts w:eastAsia="Calibri" w:cstheme="minorHAnsi"/>
          <w:sz w:val="24"/>
          <w:szCs w:val="24"/>
        </w:rPr>
        <w:t xml:space="preserve">: Historical EOL Projections (source: </w:t>
      </w:r>
      <w:hyperlink r:id="rId16" w:history="1">
        <w:r w:rsidRPr="0041791D">
          <w:rPr>
            <w:rFonts w:eastAsia="Calibri" w:cstheme="minorHAnsi"/>
            <w:color w:val="0563C1"/>
            <w:sz w:val="24"/>
            <w:szCs w:val="24"/>
            <w:u w:val="single"/>
          </w:rPr>
          <w:t>Landfill Annual Reports</w:t>
        </w:r>
      </w:hyperlink>
      <w:r w:rsidRPr="0041791D">
        <w:rPr>
          <w:rFonts w:eastAsia="Calibri" w:cstheme="minorHAnsi"/>
          <w:sz w:val="24"/>
          <w:szCs w:val="24"/>
        </w:rPr>
        <w:t>)</w:t>
      </w:r>
    </w:p>
    <w:p w14:paraId="4B1398FE" w14:textId="77777777" w:rsidR="006F646F" w:rsidRPr="0041791D" w:rsidRDefault="006F646F" w:rsidP="006F646F">
      <w:pPr>
        <w:rPr>
          <w:rFonts w:cstheme="minorHAnsi"/>
          <w:sz w:val="24"/>
          <w:szCs w:val="24"/>
        </w:rPr>
      </w:pPr>
      <w:r w:rsidRPr="0041791D">
        <w:rPr>
          <w:rFonts w:cstheme="minorHAnsi"/>
          <w:noProof/>
          <w:sz w:val="24"/>
          <w:szCs w:val="24"/>
        </w:rPr>
        <w:drawing>
          <wp:inline distT="0" distB="0" distL="0" distR="0" wp14:anchorId="6B77E5E3" wp14:editId="71BB1B11">
            <wp:extent cx="6217920" cy="4200525"/>
            <wp:effectExtent l="0" t="0" r="11430" b="9525"/>
            <wp:docPr id="50" name="Chart 50">
              <a:extLst xmlns:a="http://schemas.openxmlformats.org/drawingml/2006/main">
                <a:ext uri="{FF2B5EF4-FFF2-40B4-BE49-F238E27FC236}">
                  <a16:creationId xmlns:a16="http://schemas.microsoft.com/office/drawing/2014/main" id="{3EBF81ED-0A62-44E0-ABC9-CBF28A2C75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9E11453" w14:textId="77777777" w:rsidR="006F646F" w:rsidRPr="0041791D" w:rsidRDefault="006F646F" w:rsidP="006F646F">
      <w:pPr>
        <w:rPr>
          <w:rFonts w:cstheme="minorHAnsi"/>
          <w:sz w:val="24"/>
          <w:szCs w:val="24"/>
        </w:rPr>
      </w:pPr>
    </w:p>
    <w:p w14:paraId="4FCEA2C3" w14:textId="3CACF114" w:rsidR="006F646F" w:rsidRPr="0041791D" w:rsidRDefault="006F646F" w:rsidP="006F646F">
      <w:pPr>
        <w:spacing w:after="240" w:line="240" w:lineRule="auto"/>
        <w:jc w:val="center"/>
        <w:rPr>
          <w:rFonts w:eastAsia="Calibri" w:cstheme="minorHAnsi"/>
          <w:iCs/>
          <w:noProof/>
          <w:sz w:val="24"/>
          <w:szCs w:val="24"/>
        </w:rPr>
      </w:pPr>
      <w:r w:rsidRPr="0041791D">
        <w:rPr>
          <w:rFonts w:eastAsia="Times New Roman" w:cstheme="minorHAnsi"/>
          <w:color w:val="2E74B5"/>
          <w:sz w:val="24"/>
          <w:szCs w:val="24"/>
        </w:rPr>
        <w:t>Recent intake volume: 1993 – 2021</w:t>
      </w:r>
      <w:r w:rsidRPr="0041791D">
        <w:rPr>
          <w:rFonts w:eastAsia="Calibri" w:cstheme="minorHAnsi"/>
          <w:iCs/>
          <w:sz w:val="24"/>
          <w:szCs w:val="24"/>
        </w:rPr>
        <w:t>Chart 2</w:t>
      </w:r>
      <w:r w:rsidRPr="0041791D">
        <w:rPr>
          <w:rFonts w:eastAsia="Calibri" w:cstheme="minorHAnsi"/>
          <w:iCs/>
          <w:noProof/>
          <w:sz w:val="24"/>
          <w:szCs w:val="24"/>
        </w:rPr>
        <w:t>: Coffin Butte Landfill Intake 1993 - 2021</w:t>
      </w:r>
    </w:p>
    <w:p w14:paraId="4546E8DC" w14:textId="77777777" w:rsidR="006F646F" w:rsidRPr="0041791D" w:rsidRDefault="006F646F" w:rsidP="006F646F">
      <w:pPr>
        <w:keepNext/>
        <w:ind w:left="360"/>
        <w:rPr>
          <w:rFonts w:eastAsia="Calibri" w:cstheme="minorHAnsi"/>
          <w:sz w:val="24"/>
          <w:szCs w:val="24"/>
        </w:rPr>
      </w:pPr>
      <w:r w:rsidRPr="0041791D">
        <w:rPr>
          <w:rFonts w:eastAsia="Calibri" w:cstheme="minorHAnsi"/>
          <w:noProof/>
          <w:sz w:val="24"/>
          <w:szCs w:val="24"/>
        </w:rPr>
        <mc:AlternateContent>
          <mc:Choice Requires="wps">
            <w:drawing>
              <wp:anchor distT="45720" distB="45720" distL="114300" distR="114300" simplePos="0" relativeHeight="251669504" behindDoc="0" locked="0" layoutInCell="1" allowOverlap="1" wp14:anchorId="320A40B4" wp14:editId="4E611806">
                <wp:simplePos x="0" y="0"/>
                <wp:positionH relativeFrom="column">
                  <wp:posOffset>4960620</wp:posOffset>
                </wp:positionH>
                <wp:positionV relativeFrom="paragraph">
                  <wp:posOffset>704851</wp:posOffset>
                </wp:positionV>
                <wp:extent cx="1162050" cy="49530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95300"/>
                        </a:xfrm>
                        <a:prstGeom prst="rect">
                          <a:avLst/>
                        </a:prstGeom>
                        <a:solidFill>
                          <a:srgbClr val="FFFFFF"/>
                        </a:solidFill>
                        <a:ln w="9525">
                          <a:noFill/>
                          <a:miter lim="800000"/>
                          <a:headEnd/>
                          <a:tailEnd/>
                        </a:ln>
                      </wps:spPr>
                      <wps:txbx>
                        <w:txbxContent>
                          <w:p w14:paraId="20E50D0E" w14:textId="77777777" w:rsidR="006F646F" w:rsidRPr="004863F2" w:rsidRDefault="006F646F" w:rsidP="006F646F">
                            <w:pPr>
                              <w:rPr>
                                <w:b/>
                                <w:sz w:val="20"/>
                              </w:rPr>
                            </w:pPr>
                            <w:r>
                              <w:rPr>
                                <w:b/>
                              </w:rPr>
                              <w:t>2020 Intake Limit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0A40B4" id="_x0000_t202" coordsize="21600,21600" o:spt="202" path="m,l,21600r21600,l21600,xe">
                <v:stroke joinstyle="miter"/>
                <v:path gradientshapeok="t" o:connecttype="rect"/>
              </v:shapetype>
              <v:shape id="Text Box 30" o:spid="_x0000_s1026" type="#_x0000_t202" style="position:absolute;left:0;text-align:left;margin-left:390.6pt;margin-top:55.5pt;width:91.5pt;height:3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" stroked="f">
                <v:textbox>
                  <w:txbxContent>
                    <w:p w14:paraId="20E50D0E" w14:textId="77777777" w:rsidR="006F646F" w:rsidRPr="004863F2" w:rsidRDefault="006F646F" w:rsidP="006F646F">
                      <w:pPr>
                        <w:rPr>
                          <w:b/>
                          <w:sz w:val="20"/>
                        </w:rPr>
                      </w:pPr>
                      <w:r>
                        <w:rPr>
                          <w:b/>
                        </w:rPr>
                        <w:t>2020 Intake Limit</w:t>
                      </w:r>
                    </w:p>
                  </w:txbxContent>
                </v:textbox>
              </v:shape>
            </w:pict>
          </mc:Fallback>
        </mc:AlternateContent>
      </w:r>
      <w:r w:rsidRPr="0041791D">
        <w:rPr>
          <w:rFonts w:eastAsia="Calibri" w:cstheme="minorHAnsi"/>
          <w:noProof/>
          <w:sz w:val="24"/>
          <w:szCs w:val="24"/>
        </w:rPr>
        <mc:AlternateContent>
          <mc:Choice Requires="wps">
            <w:drawing>
              <wp:anchor distT="45720" distB="45720" distL="114300" distR="114300" simplePos="0" relativeHeight="251671552" behindDoc="0" locked="0" layoutInCell="1" allowOverlap="1" wp14:anchorId="7DE387D3" wp14:editId="1CDEAE34">
                <wp:simplePos x="0" y="0"/>
                <wp:positionH relativeFrom="column">
                  <wp:posOffset>5210175</wp:posOffset>
                </wp:positionH>
                <wp:positionV relativeFrom="paragraph">
                  <wp:posOffset>1847850</wp:posOffset>
                </wp:positionV>
                <wp:extent cx="914400" cy="1404620"/>
                <wp:effectExtent l="0" t="0" r="0" b="254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solidFill>
                          <a:srgbClr val="FFFFFF"/>
                        </a:solidFill>
                        <a:ln w="9525">
                          <a:noFill/>
                          <a:miter lim="800000"/>
                          <a:headEnd/>
                          <a:tailEnd/>
                        </a:ln>
                      </wps:spPr>
                      <wps:txbx>
                        <w:txbxContent>
                          <w:p w14:paraId="43D8CFDF" w14:textId="77777777" w:rsidR="006F646F" w:rsidRPr="004863F2" w:rsidRDefault="006F646F" w:rsidP="006F646F">
                            <w:pPr>
                              <w:rPr>
                                <w:b/>
                                <w:bCs/>
                                <w:sz w:val="24"/>
                                <w:szCs w:val="24"/>
                              </w:rPr>
                            </w:pPr>
                            <w:r w:rsidRPr="004863F2">
                              <w:rPr>
                                <w:rStyle w:val="cf01"/>
                                <w:b/>
                                <w:bCs/>
                                <w:sz w:val="20"/>
                              </w:rPr>
                              <w:t>2000 Intake Threshold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E387D3" id="Text Box 34" o:spid="_x0000_s1027" type="#_x0000_t202" style="position:absolute;left:0;text-align:left;margin-left:410.25pt;margin-top:145.5pt;width:1in;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" stroked="f">
                <v:textbox style="mso-fit-shape-to-text:t">
                  <w:txbxContent>
                    <w:p w14:paraId="43D8CFDF" w14:textId="77777777" w:rsidR="006F646F" w:rsidRPr="004863F2" w:rsidRDefault="006F646F" w:rsidP="006F646F">
                      <w:pPr>
                        <w:rPr>
                          <w:b/>
                          <w:bCs/>
                          <w:sz w:val="24"/>
                          <w:szCs w:val="24"/>
                        </w:rPr>
                      </w:pPr>
                      <w:r w:rsidRPr="004863F2">
                        <w:rPr>
                          <w:rStyle w:val="cf01"/>
                          <w:b/>
                          <w:bCs/>
                          <w:sz w:val="20"/>
                        </w:rPr>
                        <w:t>2000 Intake Threshold</w:t>
                      </w:r>
                    </w:p>
                  </w:txbxContent>
                </v:textbox>
              </v:shape>
            </w:pict>
          </mc:Fallback>
        </mc:AlternateContent>
      </w:r>
      <w:r w:rsidRPr="0041791D">
        <w:rPr>
          <w:rFonts w:eastAsia="Calibri" w:cstheme="minorHAnsi"/>
          <w:noProof/>
          <w:sz w:val="24"/>
          <w:szCs w:val="24"/>
        </w:rPr>
        <mc:AlternateContent>
          <mc:Choice Requires="wps">
            <w:drawing>
              <wp:anchor distT="0" distB="0" distL="114300" distR="114300" simplePos="0" relativeHeight="251670528" behindDoc="0" locked="0" layoutInCell="1" allowOverlap="1" wp14:anchorId="25CDC0CE" wp14:editId="616A765A">
                <wp:simplePos x="0" y="0"/>
                <wp:positionH relativeFrom="column">
                  <wp:posOffset>4638675</wp:posOffset>
                </wp:positionH>
                <wp:positionV relativeFrom="paragraph">
                  <wp:posOffset>715328</wp:posOffset>
                </wp:positionV>
                <wp:extent cx="1343978" cy="0"/>
                <wp:effectExtent l="0" t="0" r="27940" b="19050"/>
                <wp:wrapNone/>
                <wp:docPr id="48" name="Straight Connector 48"/>
                <wp:cNvGraphicFramePr/>
                <a:graphic xmlns:a="http://schemas.openxmlformats.org/drawingml/2006/main">
                  <a:graphicData uri="http://schemas.microsoft.com/office/word/2010/wordprocessingShape">
                    <wps:wsp>
                      <wps:cNvCnPr/>
                      <wps:spPr>
                        <a:xfrm>
                          <a:off x="0" y="0"/>
                          <a:ext cx="1343978" cy="0"/>
                        </a:xfrm>
                        <a:prstGeom prst="line">
                          <a:avLst/>
                        </a:prstGeom>
                        <a:noFill/>
                        <a:ln w="2540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74B0A1" id="Straight Connector 48"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25pt,56.35pt" to="471.1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" strokecolor="red" strokeweight="2pt">
                <v:stroke dashstyle="3 1" joinstyle="miter"/>
              </v:line>
            </w:pict>
          </mc:Fallback>
        </mc:AlternateContent>
      </w:r>
      <w:r w:rsidRPr="0041791D">
        <w:rPr>
          <w:rFonts w:eastAsia="Calibri" w:cstheme="minorHAnsi"/>
          <w:noProof/>
          <w:sz w:val="24"/>
          <w:szCs w:val="24"/>
        </w:rPr>
        <w:drawing>
          <wp:inline distT="0" distB="0" distL="0" distR="0" wp14:anchorId="4C4B3A87" wp14:editId="7D113318">
            <wp:extent cx="5943600" cy="3382645"/>
            <wp:effectExtent l="0" t="0" r="0" b="825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C60077A" w14:textId="77777777" w:rsidR="006F646F" w:rsidRPr="0041791D" w:rsidRDefault="006F646F" w:rsidP="006F646F">
      <w:pPr>
        <w:spacing w:after="60"/>
        <w:rPr>
          <w:rFonts w:eastAsia="Calibri" w:cstheme="minorHAnsi"/>
          <w:sz w:val="24"/>
          <w:szCs w:val="24"/>
        </w:rPr>
      </w:pPr>
    </w:p>
    <w:p w14:paraId="1B0BBF12" w14:textId="77777777" w:rsidR="006F646F" w:rsidRPr="0041791D" w:rsidRDefault="006F646F" w:rsidP="006F646F">
      <w:pPr>
        <w:spacing w:after="60"/>
        <w:rPr>
          <w:rFonts w:eastAsia="Calibri" w:cstheme="minorHAnsi"/>
          <w:sz w:val="24"/>
          <w:szCs w:val="24"/>
        </w:rPr>
      </w:pPr>
    </w:p>
    <w:p w14:paraId="2CADD0A9" w14:textId="77777777" w:rsidR="006F646F" w:rsidRPr="0041791D" w:rsidRDefault="006F646F" w:rsidP="006F646F">
      <w:pPr>
        <w:keepNext/>
        <w:keepLines/>
        <w:numPr>
          <w:ilvl w:val="0"/>
          <w:numId w:val="24"/>
        </w:numPr>
        <w:spacing w:after="240" w:line="240" w:lineRule="auto"/>
        <w:outlineLvl w:val="2"/>
        <w:rPr>
          <w:rFonts w:eastAsia="Times New Roman" w:cstheme="minorHAnsi"/>
          <w:b/>
          <w:bCs/>
          <w:sz w:val="24"/>
          <w:szCs w:val="24"/>
        </w:rPr>
      </w:pPr>
      <w:r w:rsidRPr="0041791D">
        <w:rPr>
          <w:rFonts w:eastAsia="Times New Roman" w:cstheme="minorHAnsi"/>
          <w:b/>
          <w:bCs/>
          <w:sz w:val="24"/>
          <w:szCs w:val="24"/>
        </w:rPr>
        <w:t>Intake volume by source 2016 – 2021</w:t>
      </w:r>
    </w:p>
    <w:p w14:paraId="232AA2F0" w14:textId="77777777" w:rsidR="006F646F" w:rsidRPr="00D02D78" w:rsidRDefault="006F646F" w:rsidP="006F646F">
      <w:pPr>
        <w:spacing w:after="0"/>
        <w:ind w:left="360"/>
        <w:rPr>
          <w:rFonts w:eastAsia="Calibri" w:cstheme="minorHAnsi"/>
          <w:sz w:val="24"/>
          <w:szCs w:val="24"/>
        </w:rPr>
      </w:pPr>
      <w:r w:rsidRPr="0041791D">
        <w:rPr>
          <w:rFonts w:eastAsia="Calibri" w:cstheme="minorHAnsi"/>
          <w:sz w:val="24"/>
          <w:szCs w:val="24"/>
        </w:rPr>
        <w:t>See</w:t>
      </w:r>
      <w:r w:rsidRPr="0041791D">
        <w:rPr>
          <w:rFonts w:eastAsia="Calibri" w:cstheme="minorHAnsi"/>
          <w:i/>
          <w:sz w:val="24"/>
          <w:szCs w:val="24"/>
        </w:rPr>
        <w:t xml:space="preserve"> </w:t>
      </w:r>
      <w:r w:rsidRPr="0041791D">
        <w:rPr>
          <w:rFonts w:eastAsia="Calibri" w:cstheme="minorHAnsi"/>
          <w:sz w:val="24"/>
          <w:szCs w:val="24"/>
        </w:rPr>
        <w:t>chart below for a breakdown of the Coffin Butte intake by source county for the period 2013-2021.  This period includes the significant intake volume increase of 2016-2017.</w:t>
      </w:r>
      <w:r>
        <w:rPr>
          <w:rFonts w:eastAsia="Calibri" w:cstheme="minorHAnsi"/>
          <w:sz w:val="24"/>
          <w:szCs w:val="24"/>
        </w:rPr>
        <w:t xml:space="preserve"> </w:t>
      </w:r>
      <w:commentRangeStart w:id="104"/>
      <w:r w:rsidRPr="000E24EA">
        <w:rPr>
          <w:rFonts w:eastAsia="Calibri" w:cstheme="minorHAnsi"/>
          <w:sz w:val="24"/>
          <w:szCs w:val="24"/>
        </w:rPr>
        <w:t>The intake</w:t>
      </w:r>
      <w:r>
        <w:rPr>
          <w:rFonts w:eastAsia="Calibri" w:cstheme="minorHAnsi"/>
          <w:sz w:val="24"/>
          <w:szCs w:val="24"/>
        </w:rPr>
        <w:t xml:space="preserve"> </w:t>
      </w:r>
      <w:r w:rsidRPr="000E24EA">
        <w:rPr>
          <w:rFonts w:eastAsia="Calibri" w:cstheme="minorHAnsi"/>
          <w:sz w:val="24"/>
          <w:szCs w:val="24"/>
        </w:rPr>
        <w:t>shown for Benton County includes the volume of the landfill’s daily cover, the soil used to</w:t>
      </w:r>
      <w:r>
        <w:rPr>
          <w:rFonts w:eastAsia="Calibri" w:cstheme="minorHAnsi"/>
          <w:sz w:val="24"/>
          <w:szCs w:val="24"/>
        </w:rPr>
        <w:t xml:space="preserve"> </w:t>
      </w:r>
      <w:r w:rsidRPr="000E24EA">
        <w:rPr>
          <w:rFonts w:eastAsia="Calibri" w:cstheme="minorHAnsi"/>
          <w:sz w:val="24"/>
          <w:szCs w:val="24"/>
        </w:rPr>
        <w:t>overlay waste at the end of each day.</w:t>
      </w:r>
      <w:commentRangeEnd w:id="104"/>
      <w:r>
        <w:rPr>
          <w:rStyle w:val="CommentReference"/>
        </w:rPr>
        <w:commentReference w:id="104"/>
      </w:r>
    </w:p>
    <w:p w14:paraId="35B985DD" w14:textId="77777777" w:rsidR="006F646F" w:rsidRPr="0041791D" w:rsidRDefault="006F646F" w:rsidP="006F646F">
      <w:pPr>
        <w:keepNext/>
        <w:spacing w:line="240" w:lineRule="auto"/>
        <w:jc w:val="center"/>
        <w:rPr>
          <w:rFonts w:eastAsia="MS Mincho" w:cstheme="minorHAnsi"/>
          <w:b/>
          <w:bCs/>
          <w:color w:val="595959"/>
          <w:sz w:val="24"/>
          <w:szCs w:val="24"/>
        </w:rPr>
      </w:pPr>
      <w:r w:rsidRPr="0041791D">
        <w:rPr>
          <w:rFonts w:eastAsia="MS Mincho" w:cstheme="minorHAnsi"/>
          <w:b/>
          <w:bCs/>
          <w:color w:val="595959"/>
          <w:sz w:val="24"/>
          <w:szCs w:val="24"/>
        </w:rPr>
        <w:t xml:space="preserve">Figure </w:t>
      </w:r>
      <w:r>
        <w:rPr>
          <w:rFonts w:eastAsia="MS Mincho" w:cstheme="minorHAnsi"/>
          <w:b/>
          <w:bCs/>
          <w:color w:val="595959"/>
          <w:sz w:val="24"/>
          <w:szCs w:val="24"/>
        </w:rPr>
        <w:fldChar w:fldCharType="begin"/>
      </w:r>
      <w:r>
        <w:rPr>
          <w:rFonts w:eastAsia="MS Mincho" w:cstheme="minorHAnsi"/>
          <w:b/>
          <w:bCs/>
          <w:color w:val="595959"/>
          <w:sz w:val="24"/>
          <w:szCs w:val="24"/>
        </w:rPr>
        <w:instrText xml:space="preserve"> SEQ Figure \* ARABIC </w:instrText>
      </w:r>
      <w:r>
        <w:rPr>
          <w:rFonts w:eastAsia="MS Mincho" w:cstheme="minorHAnsi"/>
          <w:b/>
          <w:bCs/>
          <w:color w:val="595959"/>
          <w:sz w:val="24"/>
          <w:szCs w:val="24"/>
        </w:rPr>
        <w:fldChar w:fldCharType="separate"/>
      </w:r>
      <w:r>
        <w:rPr>
          <w:rFonts w:eastAsia="MS Mincho" w:cstheme="minorHAnsi"/>
          <w:b/>
          <w:bCs/>
          <w:noProof/>
          <w:color w:val="595959"/>
          <w:sz w:val="24"/>
          <w:szCs w:val="24"/>
        </w:rPr>
        <w:t>7</w:t>
      </w:r>
      <w:r>
        <w:rPr>
          <w:rFonts w:eastAsia="MS Mincho" w:cstheme="minorHAnsi"/>
          <w:b/>
          <w:bCs/>
          <w:color w:val="595959"/>
          <w:sz w:val="24"/>
          <w:szCs w:val="24"/>
        </w:rPr>
        <w:fldChar w:fldCharType="end"/>
      </w:r>
      <w:r w:rsidRPr="0041791D">
        <w:rPr>
          <w:rFonts w:eastAsia="MS Mincho" w:cstheme="minorHAnsi"/>
          <w:b/>
          <w:bCs/>
          <w:color w:val="595959"/>
          <w:sz w:val="24"/>
          <w:szCs w:val="24"/>
        </w:rPr>
        <w:t xml:space="preserve">: </w:t>
      </w:r>
      <w:r w:rsidRPr="0041791D">
        <w:rPr>
          <w:rFonts w:eastAsia="Calibri" w:cstheme="minorHAnsi"/>
          <w:b/>
          <w:bCs/>
          <w:color w:val="595959"/>
          <w:sz w:val="24"/>
          <w:szCs w:val="24"/>
        </w:rPr>
        <w:t>Intake by Source, 2013 - 2021</w:t>
      </w:r>
    </w:p>
    <w:p w14:paraId="29513D5D" w14:textId="77777777" w:rsidR="006F646F" w:rsidRPr="0041791D" w:rsidRDefault="006F646F" w:rsidP="006F646F">
      <w:pPr>
        <w:ind w:left="360"/>
        <w:rPr>
          <w:rFonts w:eastAsia="Calibri" w:cstheme="minorHAnsi"/>
          <w:i/>
          <w:color w:val="FF0000"/>
          <w:sz w:val="24"/>
          <w:szCs w:val="24"/>
        </w:rPr>
      </w:pPr>
      <w:r w:rsidRPr="0041791D">
        <w:rPr>
          <w:rFonts w:eastAsia="Calibri" w:cstheme="minorHAnsi"/>
          <w:noProof/>
          <w:sz w:val="24"/>
          <w:szCs w:val="24"/>
        </w:rPr>
        <w:drawing>
          <wp:inline distT="0" distB="0" distL="0" distR="0" wp14:anchorId="17E208B2" wp14:editId="55745A92">
            <wp:extent cx="5943600" cy="4886325"/>
            <wp:effectExtent l="0" t="0" r="0" b="9525"/>
            <wp:docPr id="52" name="Chart 52">
              <a:extLst xmlns:a="http://schemas.openxmlformats.org/drawingml/2006/main">
                <a:ext uri="{FF2B5EF4-FFF2-40B4-BE49-F238E27FC236}">
                  <a16:creationId xmlns:a16="http://schemas.microsoft.com/office/drawing/2014/main" id="{C9362E8A-5A75-4CAC-8A57-523D0CEF50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CABD69A" w14:textId="77777777" w:rsidR="006F646F" w:rsidRPr="0041791D" w:rsidRDefault="006F646F" w:rsidP="006F646F">
      <w:pPr>
        <w:rPr>
          <w:rFonts w:cstheme="minorHAnsi"/>
          <w:sz w:val="24"/>
          <w:szCs w:val="24"/>
        </w:rPr>
      </w:pPr>
    </w:p>
    <w:p w14:paraId="5754A62A" w14:textId="77777777" w:rsidR="006F646F" w:rsidRPr="0041791D" w:rsidRDefault="006F646F" w:rsidP="006F646F">
      <w:pPr>
        <w:rPr>
          <w:rFonts w:cstheme="minorHAnsi"/>
          <w:sz w:val="24"/>
          <w:szCs w:val="24"/>
        </w:rPr>
      </w:pPr>
      <w:r w:rsidRPr="0041791D">
        <w:rPr>
          <w:rFonts w:cstheme="minorHAnsi"/>
          <w:sz w:val="24"/>
          <w:szCs w:val="24"/>
        </w:rPr>
        <w:br w:type="page"/>
      </w:r>
    </w:p>
    <w:p w14:paraId="65777964" w14:textId="77777777" w:rsidR="006F646F" w:rsidRPr="0041791D" w:rsidRDefault="006F646F" w:rsidP="006F646F">
      <w:pPr>
        <w:pStyle w:val="Heading2"/>
        <w:rPr>
          <w:rFonts w:asciiTheme="minorHAnsi" w:hAnsiTheme="minorHAnsi" w:cstheme="minorHAnsi"/>
          <w:sz w:val="24"/>
          <w:szCs w:val="24"/>
        </w:rPr>
      </w:pPr>
      <w:bookmarkStart w:id="105" w:name="_Toc128666870"/>
      <w:bookmarkStart w:id="106" w:name="_Toc129256705"/>
      <w:r w:rsidRPr="0041791D">
        <w:rPr>
          <w:rFonts w:asciiTheme="minorHAnsi" w:hAnsiTheme="minorHAnsi" w:cstheme="minorHAnsi"/>
          <w:sz w:val="24"/>
          <w:szCs w:val="24"/>
        </w:rPr>
        <w:t>Section 1: Landfill Size</w:t>
      </w:r>
      <w:bookmarkEnd w:id="105"/>
      <w:bookmarkEnd w:id="106"/>
    </w:p>
    <w:p w14:paraId="3378CCE4" w14:textId="77777777" w:rsidR="006F646F" w:rsidRPr="0041791D" w:rsidRDefault="006F646F" w:rsidP="006F646F">
      <w:pPr>
        <w:pStyle w:val="Heading3"/>
        <w:numPr>
          <w:ilvl w:val="0"/>
          <w:numId w:val="31"/>
        </w:numPr>
        <w:rPr>
          <w:rFonts w:asciiTheme="minorHAnsi" w:hAnsiTheme="minorHAnsi" w:cstheme="minorHAnsi"/>
        </w:rPr>
      </w:pPr>
      <w:bookmarkStart w:id="107" w:name="_Physical_Real_Estate"/>
      <w:bookmarkStart w:id="108" w:name="_Toc128666871"/>
      <w:bookmarkStart w:id="109" w:name="_Toc129256706"/>
      <w:bookmarkEnd w:id="107"/>
      <w:r w:rsidRPr="0041791D">
        <w:rPr>
          <w:rFonts w:asciiTheme="minorHAnsi" w:hAnsiTheme="minorHAnsi" w:cstheme="minorHAnsi"/>
        </w:rPr>
        <w:t>Physical Real Estate Footprint</w:t>
      </w:r>
      <w:bookmarkEnd w:id="108"/>
      <w:bookmarkEnd w:id="109"/>
    </w:p>
    <w:p w14:paraId="3C591F52" w14:textId="77777777" w:rsidR="006F646F" w:rsidRPr="0041791D" w:rsidRDefault="006F646F" w:rsidP="006F646F">
      <w:pPr>
        <w:keepNext/>
        <w:keepLines/>
        <w:numPr>
          <w:ilvl w:val="0"/>
          <w:numId w:val="7"/>
        </w:numPr>
        <w:spacing w:after="240" w:line="240" w:lineRule="auto"/>
        <w:ind w:hanging="180"/>
        <w:outlineLvl w:val="2"/>
        <w:rPr>
          <w:rFonts w:eastAsia="Times New Roman" w:cstheme="minorHAnsi"/>
          <w:sz w:val="24"/>
          <w:szCs w:val="24"/>
        </w:rPr>
      </w:pPr>
      <w:bookmarkStart w:id="110" w:name="_Toc128666872"/>
      <w:bookmarkStart w:id="111" w:name="_Toc129256707"/>
      <w:r w:rsidRPr="0041791D">
        <w:rPr>
          <w:rFonts w:eastAsia="Times New Roman" w:cstheme="minorHAnsi"/>
          <w:b/>
          <w:bCs/>
          <w:sz w:val="24"/>
          <w:szCs w:val="24"/>
        </w:rPr>
        <w:t>History</w:t>
      </w:r>
      <w:bookmarkEnd w:id="110"/>
      <w:bookmarkEnd w:id="111"/>
    </w:p>
    <w:p w14:paraId="4213541F" w14:textId="77777777" w:rsidR="006F646F" w:rsidRPr="0041791D" w:rsidRDefault="006F646F" w:rsidP="006F646F">
      <w:pPr>
        <w:spacing w:after="240" w:line="240" w:lineRule="auto"/>
        <w:ind w:left="360"/>
        <w:rPr>
          <w:rFonts w:eastAsia="Calibri" w:cstheme="minorHAnsi"/>
          <w:sz w:val="24"/>
          <w:szCs w:val="24"/>
        </w:rPr>
      </w:pPr>
      <w:r w:rsidRPr="0041791D">
        <w:rPr>
          <w:rFonts w:eastAsia="Calibri" w:cstheme="minorHAnsi"/>
          <w:sz w:val="24"/>
          <w:szCs w:val="24"/>
        </w:rPr>
        <w:t xml:space="preserve">The Coffin Butte landfill was initiated in the early World War II era as a local burn dump for the Adair Air Force Base.  The location was chosen because it was convenient to the </w:t>
      </w:r>
      <w:proofErr w:type="gramStart"/>
      <w:r w:rsidRPr="0041791D">
        <w:rPr>
          <w:rFonts w:eastAsia="Calibri" w:cstheme="minorHAnsi"/>
          <w:sz w:val="24"/>
          <w:szCs w:val="24"/>
        </w:rPr>
        <w:t>Base, and</w:t>
      </w:r>
      <w:proofErr w:type="gramEnd"/>
      <w:r w:rsidRPr="0041791D">
        <w:rPr>
          <w:rFonts w:eastAsia="Calibri" w:cstheme="minorHAnsi"/>
          <w:sz w:val="24"/>
          <w:szCs w:val="24"/>
        </w:rPr>
        <w:t xml:space="preserve"> was not necessarily the result of a careful selection and evaluation process.</w:t>
      </w:r>
    </w:p>
    <w:p w14:paraId="7A8F001A"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Per the 2002 MOU </w:t>
      </w:r>
      <w:hyperlink r:id="rId20" w:tgtFrame="_blank" w:history="1">
        <w:r w:rsidRPr="0041791D">
          <w:rPr>
            <w:rFonts w:eastAsia="Calibri" w:cstheme="minorHAnsi"/>
            <w:color w:val="0563C1"/>
            <w:sz w:val="24"/>
            <w:szCs w:val="24"/>
            <w:u w:val="single"/>
          </w:rPr>
          <w:t>Benton County &amp; Valley Landfills MOU Relating to Land Use Issues (2002)</w:t>
        </w:r>
      </w:hyperlink>
      <w:r w:rsidRPr="0041791D">
        <w:rPr>
          <w:rFonts w:eastAsia="Calibri" w:cstheme="minorHAnsi"/>
          <w:sz w:val="24"/>
          <w:szCs w:val="24"/>
        </w:rPr>
        <w:t>:</w:t>
      </w:r>
    </w:p>
    <w:p w14:paraId="3CCDA2D0" w14:textId="77777777" w:rsidR="006F646F" w:rsidRPr="0041791D" w:rsidRDefault="006F646F" w:rsidP="006F646F">
      <w:pPr>
        <w:numPr>
          <w:ilvl w:val="0"/>
          <w:numId w:val="19"/>
        </w:numPr>
        <w:contextualSpacing/>
        <w:rPr>
          <w:rFonts w:eastAsia="Calibri" w:cstheme="minorHAnsi"/>
          <w:sz w:val="24"/>
          <w:szCs w:val="24"/>
        </w:rPr>
      </w:pPr>
      <w:r w:rsidRPr="0041791D">
        <w:rPr>
          <w:rFonts w:eastAsia="Calibri" w:cstheme="minorHAnsi"/>
          <w:sz w:val="24"/>
          <w:szCs w:val="24"/>
        </w:rPr>
        <w:t>1974 CUP approved landfill activities on 184 acres north of Coffin Butte Road.</w:t>
      </w:r>
    </w:p>
    <w:p w14:paraId="37EBD2BD" w14:textId="77777777" w:rsidR="006F646F" w:rsidRPr="0041791D" w:rsidRDefault="006F646F" w:rsidP="006F646F">
      <w:pPr>
        <w:numPr>
          <w:ilvl w:val="0"/>
          <w:numId w:val="19"/>
        </w:numPr>
        <w:contextualSpacing/>
        <w:rPr>
          <w:rFonts w:eastAsia="Calibri" w:cstheme="minorHAnsi"/>
          <w:sz w:val="24"/>
          <w:szCs w:val="24"/>
        </w:rPr>
      </w:pPr>
      <w:r w:rsidRPr="0041791D">
        <w:rPr>
          <w:rFonts w:eastAsia="Calibri" w:cstheme="minorHAnsi"/>
          <w:sz w:val="24"/>
          <w:szCs w:val="24"/>
        </w:rPr>
        <w:t>1983 rezoning added 10 acres for landfill activities north of Coffin Butte Road, for a total of 194 acres.</w:t>
      </w:r>
    </w:p>
    <w:p w14:paraId="6D0079F2" w14:textId="77777777" w:rsidR="006F646F" w:rsidRPr="0041791D" w:rsidRDefault="006F646F" w:rsidP="006F646F">
      <w:pPr>
        <w:numPr>
          <w:ilvl w:val="0"/>
          <w:numId w:val="19"/>
        </w:numPr>
        <w:contextualSpacing/>
        <w:rPr>
          <w:rFonts w:eastAsia="Calibri" w:cstheme="minorHAnsi"/>
          <w:sz w:val="24"/>
          <w:szCs w:val="24"/>
        </w:rPr>
      </w:pPr>
      <w:r w:rsidRPr="0041791D">
        <w:rPr>
          <w:rFonts w:eastAsia="Calibri" w:cstheme="minorHAnsi"/>
          <w:sz w:val="24"/>
          <w:szCs w:val="24"/>
        </w:rPr>
        <w:t>The site map included in the 1983 rezoning consideration restricted “fill” activity to the north side of Coffin Butte Road.</w:t>
      </w:r>
    </w:p>
    <w:p w14:paraId="46531839" w14:textId="77777777" w:rsidR="006F646F" w:rsidRPr="0041791D" w:rsidRDefault="006F646F" w:rsidP="006F646F">
      <w:pPr>
        <w:numPr>
          <w:ilvl w:val="0"/>
          <w:numId w:val="19"/>
        </w:numPr>
        <w:contextualSpacing/>
        <w:rPr>
          <w:rFonts w:eastAsia="Calibri" w:cstheme="minorHAnsi"/>
          <w:sz w:val="24"/>
          <w:szCs w:val="24"/>
        </w:rPr>
      </w:pPr>
      <w:r w:rsidRPr="0041791D">
        <w:rPr>
          <w:rFonts w:eastAsia="Calibri" w:cstheme="minorHAnsi"/>
          <w:sz w:val="24"/>
          <w:szCs w:val="24"/>
        </w:rPr>
        <w:t>Since 1983, the total acreage of the permitted landfill site has remained largely unchanged.</w:t>
      </w:r>
    </w:p>
    <w:p w14:paraId="7CD51E57" w14:textId="77777777" w:rsidR="006F646F" w:rsidRPr="0041791D" w:rsidRDefault="006F646F" w:rsidP="006F646F">
      <w:pPr>
        <w:numPr>
          <w:ilvl w:val="0"/>
          <w:numId w:val="19"/>
        </w:numPr>
        <w:contextualSpacing/>
        <w:rPr>
          <w:rFonts w:eastAsia="Calibri" w:cstheme="minorHAnsi"/>
          <w:sz w:val="24"/>
          <w:szCs w:val="24"/>
        </w:rPr>
      </w:pPr>
      <w:r w:rsidRPr="0041791D">
        <w:rPr>
          <w:rFonts w:eastAsia="Calibri" w:cstheme="minorHAnsi"/>
          <w:sz w:val="24"/>
          <w:szCs w:val="24"/>
        </w:rPr>
        <w:t xml:space="preserve">Franchisee (VLI) agrees that the approximately 56-acre parcel south of Coffin Butte Road, while zoned Landfill Site (LS), would not be used for disposal of solid waste </w:t>
      </w:r>
      <w:commentRangeStart w:id="112"/>
      <w:commentRangeStart w:id="113"/>
      <w:r w:rsidRPr="0041791D">
        <w:rPr>
          <w:rFonts w:eastAsia="Calibri" w:cstheme="minorHAnsi"/>
          <w:sz w:val="24"/>
          <w:szCs w:val="24"/>
        </w:rPr>
        <w:t>unless approved by a conditional use permit</w:t>
      </w:r>
      <w:commentRangeEnd w:id="112"/>
      <w:r w:rsidRPr="0041791D">
        <w:rPr>
          <w:rFonts w:eastAsia="Calibri" w:cstheme="minorHAnsi"/>
          <w:sz w:val="24"/>
          <w:szCs w:val="24"/>
        </w:rPr>
        <w:commentReference w:id="112"/>
      </w:r>
      <w:commentRangeEnd w:id="113"/>
      <w:r w:rsidRPr="0041791D">
        <w:rPr>
          <w:rFonts w:eastAsia="Calibri" w:cstheme="minorHAnsi"/>
          <w:sz w:val="24"/>
          <w:szCs w:val="24"/>
        </w:rPr>
        <w:commentReference w:id="113"/>
      </w:r>
      <w:r w:rsidRPr="0041791D">
        <w:rPr>
          <w:rFonts w:eastAsia="Calibri" w:cstheme="minorHAnsi"/>
          <w:sz w:val="24"/>
          <w:szCs w:val="24"/>
        </w:rPr>
        <w:t xml:space="preserve"> and Department of Environmental Quality permit for solid waste landfill use. </w:t>
      </w:r>
    </w:p>
    <w:p w14:paraId="16F9F56E" w14:textId="77777777" w:rsidR="006F646F" w:rsidRPr="0041791D" w:rsidRDefault="006F646F" w:rsidP="006F646F">
      <w:pPr>
        <w:numPr>
          <w:ilvl w:val="0"/>
          <w:numId w:val="19"/>
        </w:numPr>
        <w:contextualSpacing/>
        <w:rPr>
          <w:rFonts w:eastAsia="Calibri" w:cstheme="minorHAnsi"/>
          <w:strike/>
          <w:sz w:val="24"/>
          <w:szCs w:val="24"/>
        </w:rPr>
      </w:pPr>
      <w:r w:rsidRPr="0041791D">
        <w:rPr>
          <w:rFonts w:eastAsia="Calibri" w:cstheme="minorHAnsi"/>
          <w:sz w:val="24"/>
          <w:szCs w:val="24"/>
        </w:rPr>
        <w:t xml:space="preserve">Total acreage owned by landfill franchisee </w:t>
      </w:r>
      <w:commentRangeStart w:id="114"/>
      <w:commentRangeStart w:id="115"/>
      <w:r w:rsidRPr="0041791D">
        <w:rPr>
          <w:rFonts w:eastAsia="Calibri" w:cstheme="minorHAnsi"/>
          <w:sz w:val="24"/>
          <w:szCs w:val="24"/>
        </w:rPr>
        <w:t>unstated</w:t>
      </w:r>
      <w:commentRangeEnd w:id="114"/>
      <w:r w:rsidRPr="0041791D">
        <w:rPr>
          <w:rFonts w:eastAsia="Calibri" w:cstheme="minorHAnsi"/>
          <w:sz w:val="24"/>
          <w:szCs w:val="24"/>
        </w:rPr>
        <w:commentReference w:id="114"/>
      </w:r>
      <w:commentRangeEnd w:id="115"/>
      <w:r w:rsidRPr="0041791D">
        <w:rPr>
          <w:rFonts w:eastAsia="Calibri" w:cstheme="minorHAnsi"/>
          <w:sz w:val="24"/>
          <w:szCs w:val="24"/>
        </w:rPr>
        <w:commentReference w:id="115"/>
      </w:r>
      <w:r w:rsidRPr="0041791D">
        <w:rPr>
          <w:rFonts w:eastAsia="Calibri" w:cstheme="minorHAnsi"/>
          <w:sz w:val="24"/>
          <w:szCs w:val="24"/>
        </w:rPr>
        <w:t>.</w:t>
      </w:r>
    </w:p>
    <w:p w14:paraId="0E494053" w14:textId="77777777" w:rsidR="006F646F" w:rsidRPr="0041791D" w:rsidRDefault="006F646F" w:rsidP="006F646F">
      <w:pPr>
        <w:ind w:left="360"/>
        <w:rPr>
          <w:rFonts w:eastAsia="Calibri" w:cstheme="minorHAnsi"/>
          <w:i/>
          <w:strike/>
          <w:color w:val="FF0000"/>
          <w:sz w:val="24"/>
          <w:szCs w:val="24"/>
        </w:rPr>
      </w:pPr>
    </w:p>
    <w:p w14:paraId="2B356EF2"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See Section 2 of this document for additional detail on land use and zoning actions impacting the landfill.</w:t>
      </w:r>
    </w:p>
    <w:p w14:paraId="3BEDF5A2" w14:textId="77777777" w:rsidR="006F646F" w:rsidRDefault="006F646F" w:rsidP="006F646F">
      <w:pPr>
        <w:rPr>
          <w:rFonts w:eastAsia="Times New Roman" w:cstheme="minorHAnsi"/>
          <w:b/>
          <w:bCs/>
          <w:sz w:val="24"/>
          <w:szCs w:val="24"/>
        </w:rPr>
      </w:pPr>
      <w:bookmarkStart w:id="116" w:name="_Toc128666873"/>
      <w:r>
        <w:rPr>
          <w:rFonts w:eastAsia="Times New Roman" w:cstheme="minorHAnsi"/>
          <w:b/>
          <w:bCs/>
          <w:sz w:val="24"/>
          <w:szCs w:val="24"/>
        </w:rPr>
        <w:br w:type="page"/>
      </w:r>
    </w:p>
    <w:p w14:paraId="32F518C6" w14:textId="77777777" w:rsidR="006F646F" w:rsidRPr="0041791D" w:rsidRDefault="006F646F" w:rsidP="006F646F">
      <w:pPr>
        <w:keepNext/>
        <w:keepLines/>
        <w:spacing w:before="120" w:after="120"/>
        <w:outlineLvl w:val="2"/>
        <w:rPr>
          <w:rFonts w:eastAsia="Times New Roman" w:cstheme="minorHAnsi"/>
          <w:b/>
          <w:bCs/>
          <w:sz w:val="24"/>
          <w:szCs w:val="24"/>
        </w:rPr>
      </w:pPr>
      <w:bookmarkStart w:id="117" w:name="_Toc129256708"/>
      <w:commentRangeStart w:id="118"/>
      <w:commentRangeStart w:id="119"/>
      <w:r w:rsidRPr="0041791D">
        <w:rPr>
          <w:rFonts w:eastAsia="Times New Roman" w:cstheme="minorHAnsi"/>
          <w:b/>
          <w:bCs/>
          <w:sz w:val="24"/>
          <w:szCs w:val="24"/>
        </w:rPr>
        <w:t>Images</w:t>
      </w:r>
      <w:commentRangeEnd w:id="118"/>
      <w:r w:rsidRPr="0041791D">
        <w:rPr>
          <w:rFonts w:eastAsia="Calibri" w:cstheme="minorHAnsi"/>
          <w:b/>
          <w:bCs/>
          <w:sz w:val="24"/>
          <w:szCs w:val="24"/>
        </w:rPr>
        <w:commentReference w:id="118"/>
      </w:r>
      <w:commentRangeEnd w:id="119"/>
      <w:r w:rsidRPr="0041791D">
        <w:rPr>
          <w:rFonts w:eastAsia="Calibri" w:cstheme="minorHAnsi"/>
          <w:sz w:val="24"/>
          <w:szCs w:val="24"/>
        </w:rPr>
        <w:commentReference w:id="119"/>
      </w:r>
      <w:bookmarkEnd w:id="116"/>
      <w:bookmarkEnd w:id="117"/>
    </w:p>
    <w:p w14:paraId="7FC4445C" w14:textId="77777777" w:rsidR="006F646F" w:rsidRPr="0041791D" w:rsidRDefault="006F646F" w:rsidP="006F646F"/>
    <w:p w14:paraId="277F74DC" w14:textId="77777777" w:rsidR="006F646F" w:rsidRPr="0041791D" w:rsidRDefault="006F646F" w:rsidP="006F646F">
      <w:pPr>
        <w:rPr>
          <w:rFonts w:eastAsia="Calibri" w:cstheme="minorHAnsi"/>
          <w:sz w:val="24"/>
          <w:szCs w:val="24"/>
        </w:rPr>
      </w:pPr>
      <w:r>
        <w:rPr>
          <w:rFonts w:eastAsia="Calibri" w:cstheme="minorHAnsi"/>
          <w:noProof/>
          <w:sz w:val="24"/>
          <w:szCs w:val="24"/>
        </w:rPr>
        <w:drawing>
          <wp:anchor distT="0" distB="0" distL="114300" distR="114300" simplePos="0" relativeHeight="251664384" behindDoc="0" locked="0" layoutInCell="1" allowOverlap="1" wp14:anchorId="6BC37EEF" wp14:editId="45E9863E">
            <wp:simplePos x="0" y="0"/>
            <wp:positionH relativeFrom="column">
              <wp:posOffset>395021</wp:posOffset>
            </wp:positionH>
            <wp:positionV relativeFrom="paragraph">
              <wp:posOffset>662580</wp:posOffset>
            </wp:positionV>
            <wp:extent cx="5147945" cy="4224020"/>
            <wp:effectExtent l="0" t="0" r="0" b="5080"/>
            <wp:wrapTopAndBottom/>
            <wp:docPr id="250361738" name="Picture 250361738" descr="A picture containing text,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61738" name="Picture 250361738" descr="A picture containing text, sky, outdoor&#10;&#10;Description automatically generated"/>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7945" cy="4224020"/>
                    </a:xfrm>
                    <a:prstGeom prst="rect">
                      <a:avLst/>
                    </a:prstGeom>
                  </pic:spPr>
                </pic:pic>
              </a:graphicData>
            </a:graphic>
          </wp:anchor>
        </w:drawing>
      </w:r>
      <w:r w:rsidRPr="0041791D">
        <w:rPr>
          <w:rFonts w:eastAsia="Calibri" w:cstheme="minorHAnsi"/>
          <w:noProof/>
          <w:sz w:val="24"/>
          <w:szCs w:val="24"/>
        </w:rPr>
        <mc:AlternateContent>
          <mc:Choice Requires="wps">
            <w:drawing>
              <wp:anchor distT="0" distB="0" distL="114300" distR="114300" simplePos="0" relativeHeight="251662336" behindDoc="0" locked="0" layoutInCell="1" allowOverlap="1" wp14:anchorId="2ACFD643" wp14:editId="025B84BC">
                <wp:simplePos x="0" y="0"/>
                <wp:positionH relativeFrom="column">
                  <wp:posOffset>394335</wp:posOffset>
                </wp:positionH>
                <wp:positionV relativeFrom="paragraph">
                  <wp:posOffset>-309245</wp:posOffset>
                </wp:positionV>
                <wp:extent cx="5147945" cy="457200"/>
                <wp:effectExtent l="0" t="0" r="0" b="0"/>
                <wp:wrapTopAndBottom/>
                <wp:docPr id="33" name="Text Box 33"/>
                <wp:cNvGraphicFramePr/>
                <a:graphic xmlns:a="http://schemas.openxmlformats.org/drawingml/2006/main">
                  <a:graphicData uri="http://schemas.microsoft.com/office/word/2010/wordprocessingShape">
                    <wps:wsp>
                      <wps:cNvSpPr txBox="1"/>
                      <wps:spPr>
                        <a:xfrm>
                          <a:off x="0" y="0"/>
                          <a:ext cx="5147945" cy="457200"/>
                        </a:xfrm>
                        <a:prstGeom prst="rect">
                          <a:avLst/>
                        </a:prstGeom>
                        <a:solidFill>
                          <a:prstClr val="white"/>
                        </a:solidFill>
                        <a:ln>
                          <a:noFill/>
                        </a:ln>
                      </wps:spPr>
                      <wps:txbx>
                        <w:txbxContent>
                          <w:p w14:paraId="20979291" w14:textId="77777777" w:rsidR="006F646F" w:rsidRPr="007E6DA1" w:rsidRDefault="006F646F" w:rsidP="006F646F">
                            <w:pPr>
                              <w:pStyle w:val="Caption1"/>
                              <w:rPr>
                                <w:rFonts w:asciiTheme="minorHAnsi" w:eastAsia="Calibri" w:hAnsiTheme="minorHAnsi" w:cstheme="minorHAnsi"/>
                                <w:b w:val="0"/>
                                <w:bCs w:val="0"/>
                                <w:i/>
                                <w:iCs/>
                                <w:noProof/>
                              </w:rPr>
                            </w:pPr>
                            <w:r w:rsidRPr="007E6DA1">
                              <w:rPr>
                                <w:rFonts w:asciiTheme="minorHAnsi" w:hAnsiTheme="minorHAnsi" w:cstheme="minorHAnsi"/>
                                <w:b w:val="0"/>
                                <w:bCs w:val="0"/>
                                <w:i/>
                                <w:iCs/>
                              </w:rPr>
                              <w:t xml:space="preserve">Figure </w:t>
                            </w:r>
                            <w:r w:rsidRPr="007E6DA1">
                              <w:rPr>
                                <w:rFonts w:asciiTheme="minorHAnsi" w:hAnsiTheme="minorHAnsi" w:cstheme="minorHAnsi"/>
                                <w:b w:val="0"/>
                                <w:bCs w:val="0"/>
                                <w:i/>
                                <w:iCs/>
                              </w:rPr>
                              <w:fldChar w:fldCharType="begin"/>
                            </w:r>
                            <w:r w:rsidRPr="007E6DA1">
                              <w:rPr>
                                <w:rFonts w:asciiTheme="minorHAnsi" w:hAnsiTheme="minorHAnsi" w:cstheme="minorHAnsi"/>
                                <w:b w:val="0"/>
                                <w:bCs w:val="0"/>
                                <w:i/>
                                <w:iCs/>
                              </w:rPr>
                              <w:instrText xml:space="preserve"> SEQ Figure \* ARABIC </w:instrText>
                            </w:r>
                            <w:r w:rsidRPr="007E6DA1">
                              <w:rPr>
                                <w:rFonts w:asciiTheme="minorHAnsi" w:hAnsiTheme="minorHAnsi" w:cstheme="minorHAnsi"/>
                                <w:b w:val="0"/>
                                <w:bCs w:val="0"/>
                                <w:i/>
                                <w:iCs/>
                              </w:rPr>
                              <w:fldChar w:fldCharType="separate"/>
                            </w:r>
                            <w:r w:rsidRPr="007E6DA1">
                              <w:rPr>
                                <w:rFonts w:asciiTheme="minorHAnsi" w:hAnsiTheme="minorHAnsi" w:cstheme="minorHAnsi"/>
                                <w:b w:val="0"/>
                                <w:bCs w:val="0"/>
                                <w:i/>
                                <w:iCs/>
                                <w:noProof/>
                              </w:rPr>
                              <w:t>8</w:t>
                            </w:r>
                            <w:r w:rsidRPr="007E6DA1">
                              <w:rPr>
                                <w:rFonts w:asciiTheme="minorHAnsi" w:hAnsiTheme="minorHAnsi" w:cstheme="minorHAnsi"/>
                                <w:b w:val="0"/>
                                <w:bCs w:val="0"/>
                                <w:i/>
                                <w:iCs/>
                                <w:noProof/>
                              </w:rPr>
                              <w:fldChar w:fldCharType="end"/>
                            </w:r>
                            <w:r w:rsidRPr="007E6DA1">
                              <w:rPr>
                                <w:rFonts w:asciiTheme="minorHAnsi" w:hAnsiTheme="minorHAnsi" w:cstheme="minorHAnsi"/>
                                <w:b w:val="0"/>
                                <w:bCs w:val="0"/>
                                <w:i/>
                                <w:iCs/>
                              </w:rPr>
                              <w:t>: Reported circa 1941 aerial view of Coffin Butte area, before Camp Adair.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ACFD643" id="Text Box 33" o:spid="_x0000_s1028" type="#_x0000_t202" style="position:absolute;margin-left:31.05pt;margin-top:-24.35pt;width:405.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" stroked="f">
                <v:textbox inset="0,0,0,0">
                  <w:txbxContent>
                    <w:p w14:paraId="20979291" w14:textId="77777777" w:rsidR="006F646F" w:rsidRPr="007E6DA1" w:rsidRDefault="006F646F" w:rsidP="006F646F">
                      <w:pPr>
                        <w:pStyle w:val="Caption1"/>
                        <w:rPr>
                          <w:rFonts w:asciiTheme="minorHAnsi" w:eastAsia="Calibri" w:hAnsiTheme="minorHAnsi" w:cstheme="minorHAnsi"/>
                          <w:b w:val="0"/>
                          <w:bCs w:val="0"/>
                          <w:i/>
                          <w:iCs/>
                          <w:noProof/>
                        </w:rPr>
                      </w:pPr>
                      <w:r w:rsidRPr="007E6DA1">
                        <w:rPr>
                          <w:rFonts w:asciiTheme="minorHAnsi" w:hAnsiTheme="minorHAnsi" w:cstheme="minorHAnsi"/>
                          <w:b w:val="0"/>
                          <w:bCs w:val="0"/>
                          <w:i/>
                          <w:iCs/>
                        </w:rPr>
                        <w:t xml:space="preserve">Figure </w:t>
                      </w:r>
                      <w:r w:rsidRPr="007E6DA1">
                        <w:rPr>
                          <w:rFonts w:asciiTheme="minorHAnsi" w:hAnsiTheme="minorHAnsi" w:cstheme="minorHAnsi"/>
                          <w:b w:val="0"/>
                          <w:bCs w:val="0"/>
                          <w:i/>
                          <w:iCs/>
                        </w:rPr>
                        <w:fldChar w:fldCharType="begin"/>
                      </w:r>
                      <w:r w:rsidRPr="007E6DA1">
                        <w:rPr>
                          <w:rFonts w:asciiTheme="minorHAnsi" w:hAnsiTheme="minorHAnsi" w:cstheme="minorHAnsi"/>
                          <w:b w:val="0"/>
                          <w:bCs w:val="0"/>
                          <w:i/>
                          <w:iCs/>
                        </w:rPr>
                        <w:instrText xml:space="preserve"> SEQ Figure \* ARABIC </w:instrText>
                      </w:r>
                      <w:r w:rsidRPr="007E6DA1">
                        <w:rPr>
                          <w:rFonts w:asciiTheme="minorHAnsi" w:hAnsiTheme="minorHAnsi" w:cstheme="minorHAnsi"/>
                          <w:b w:val="0"/>
                          <w:bCs w:val="0"/>
                          <w:i/>
                          <w:iCs/>
                        </w:rPr>
                        <w:fldChar w:fldCharType="separate"/>
                      </w:r>
                      <w:r w:rsidRPr="007E6DA1">
                        <w:rPr>
                          <w:rFonts w:asciiTheme="minorHAnsi" w:hAnsiTheme="minorHAnsi" w:cstheme="minorHAnsi"/>
                          <w:b w:val="0"/>
                          <w:bCs w:val="0"/>
                          <w:i/>
                          <w:iCs/>
                          <w:noProof/>
                        </w:rPr>
                        <w:t>8</w:t>
                      </w:r>
                      <w:r w:rsidRPr="007E6DA1">
                        <w:rPr>
                          <w:rFonts w:asciiTheme="minorHAnsi" w:hAnsiTheme="minorHAnsi" w:cstheme="minorHAnsi"/>
                          <w:b w:val="0"/>
                          <w:bCs w:val="0"/>
                          <w:i/>
                          <w:iCs/>
                          <w:noProof/>
                        </w:rPr>
                        <w:fldChar w:fldCharType="end"/>
                      </w:r>
                      <w:r w:rsidRPr="007E6DA1">
                        <w:rPr>
                          <w:rFonts w:asciiTheme="minorHAnsi" w:hAnsiTheme="minorHAnsi" w:cstheme="minorHAnsi"/>
                          <w:b w:val="0"/>
                          <w:bCs w:val="0"/>
                          <w:i/>
                          <w:iCs/>
                        </w:rPr>
                        <w:t>: Reported circa 1941 aerial view of Coffin Butte area, before Camp Adair.</w:t>
                      </w:r>
                    </w:p>
                  </w:txbxContent>
                </v:textbox>
                <w10:wrap type="topAndBottom"/>
              </v:shape>
            </w:pict>
          </mc:Fallback>
        </mc:AlternateContent>
      </w:r>
    </w:p>
    <w:p w14:paraId="5FB2E414" w14:textId="0BE40008" w:rsidR="006F646F" w:rsidRPr="0041791D" w:rsidRDefault="007E6DA1" w:rsidP="006F646F">
      <w:pPr>
        <w:spacing w:after="240" w:line="240" w:lineRule="auto"/>
        <w:ind w:left="360"/>
        <w:rPr>
          <w:rFonts w:eastAsia="Calibri" w:cstheme="minorHAnsi"/>
          <w:sz w:val="24"/>
          <w:szCs w:val="24"/>
        </w:rPr>
      </w:pPr>
      <w:r>
        <w:rPr>
          <w:rFonts w:eastAsia="Calibri" w:cstheme="minorHAnsi"/>
          <w:noProof/>
          <w:sz w:val="24"/>
          <w:szCs w:val="24"/>
        </w:rPr>
        <w:drawing>
          <wp:anchor distT="0" distB="0" distL="114300" distR="114300" simplePos="0" relativeHeight="251665408" behindDoc="0" locked="0" layoutInCell="1" allowOverlap="1" wp14:anchorId="3C6E4DCE" wp14:editId="494DD2DE">
            <wp:simplePos x="0" y="0"/>
            <wp:positionH relativeFrom="column">
              <wp:posOffset>-748030</wp:posOffset>
            </wp:positionH>
            <wp:positionV relativeFrom="paragraph">
              <wp:posOffset>1680845</wp:posOffset>
            </wp:positionV>
            <wp:extent cx="7433945" cy="5577840"/>
            <wp:effectExtent l="0" t="5397" r="9207" b="9208"/>
            <wp:wrapTopAndBottom/>
            <wp:docPr id="250361741" name="Picture 2503617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61741" name="Picture 250361741" descr="A picture containing text&#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433945" cy="5577840"/>
                    </a:xfrm>
                    <a:prstGeom prst="rect">
                      <a:avLst/>
                    </a:prstGeom>
                  </pic:spPr>
                </pic:pic>
              </a:graphicData>
            </a:graphic>
          </wp:anchor>
        </w:drawing>
      </w:r>
      <w:r w:rsidR="006F646F">
        <w:rPr>
          <w:noProof/>
        </w:rPr>
        <mc:AlternateContent>
          <mc:Choice Requires="wps">
            <w:drawing>
              <wp:anchor distT="0" distB="0" distL="114300" distR="114300" simplePos="0" relativeHeight="251672576" behindDoc="0" locked="0" layoutInCell="1" allowOverlap="1" wp14:anchorId="0BFFE336" wp14:editId="1830E256">
                <wp:simplePos x="0" y="0"/>
                <wp:positionH relativeFrom="column">
                  <wp:posOffset>182880</wp:posOffset>
                </wp:positionH>
                <wp:positionV relativeFrom="paragraph">
                  <wp:posOffset>22860</wp:posOffset>
                </wp:positionV>
                <wp:extent cx="5577840" cy="457200"/>
                <wp:effectExtent l="0" t="0" r="3810" b="0"/>
                <wp:wrapTopAndBottom/>
                <wp:docPr id="9" name="Text Box 9"/>
                <wp:cNvGraphicFramePr/>
                <a:graphic xmlns:a="http://schemas.openxmlformats.org/drawingml/2006/main">
                  <a:graphicData uri="http://schemas.microsoft.com/office/word/2010/wordprocessingShape">
                    <wps:wsp>
                      <wps:cNvSpPr txBox="1"/>
                      <wps:spPr>
                        <a:xfrm>
                          <a:off x="0" y="0"/>
                          <a:ext cx="5577840" cy="457200"/>
                        </a:xfrm>
                        <a:prstGeom prst="rect">
                          <a:avLst/>
                        </a:prstGeom>
                        <a:solidFill>
                          <a:prstClr val="white"/>
                        </a:solidFill>
                        <a:ln>
                          <a:noFill/>
                        </a:ln>
                      </wps:spPr>
                      <wps:txbx>
                        <w:txbxContent>
                          <w:p w14:paraId="02129B0C" w14:textId="77777777" w:rsidR="006F646F" w:rsidRPr="007E6DA1" w:rsidRDefault="006F646F" w:rsidP="006F646F">
                            <w:pPr>
                              <w:pStyle w:val="Caption"/>
                              <w:rPr>
                                <w:rFonts w:eastAsia="Calibri" w:cstheme="minorHAnsi"/>
                                <w:noProof/>
                                <w:sz w:val="36"/>
                                <w:szCs w:val="36"/>
                              </w:rPr>
                            </w:pPr>
                            <w:r w:rsidRPr="007E6DA1">
                              <w:rPr>
                                <w:sz w:val="24"/>
                                <w:szCs w:val="24"/>
                              </w:rPr>
                              <w:t xml:space="preserve">Figure </w:t>
                            </w:r>
                            <w:r w:rsidRPr="007E6DA1">
                              <w:rPr>
                                <w:sz w:val="24"/>
                                <w:szCs w:val="24"/>
                              </w:rPr>
                              <w:fldChar w:fldCharType="begin"/>
                            </w:r>
                            <w:r w:rsidRPr="007E6DA1">
                              <w:rPr>
                                <w:sz w:val="24"/>
                                <w:szCs w:val="24"/>
                              </w:rPr>
                              <w:instrText xml:space="preserve"> SEQ Figure \* ARABIC </w:instrText>
                            </w:r>
                            <w:r w:rsidRPr="007E6DA1">
                              <w:rPr>
                                <w:sz w:val="24"/>
                                <w:szCs w:val="24"/>
                              </w:rPr>
                              <w:fldChar w:fldCharType="separate"/>
                            </w:r>
                            <w:r w:rsidRPr="007E6DA1">
                              <w:rPr>
                                <w:noProof/>
                                <w:sz w:val="24"/>
                                <w:szCs w:val="24"/>
                              </w:rPr>
                              <w:t>9</w:t>
                            </w:r>
                            <w:r w:rsidRPr="007E6DA1">
                              <w:rPr>
                                <w:noProof/>
                                <w:sz w:val="24"/>
                                <w:szCs w:val="24"/>
                              </w:rPr>
                              <w:fldChar w:fldCharType="end"/>
                            </w:r>
                            <w:r w:rsidRPr="007E6DA1">
                              <w:rPr>
                                <w:sz w:val="24"/>
                                <w:szCs w:val="24"/>
                              </w:rPr>
                              <w:t>: Wide aerial view dated 6-10-63 (1963).  Pond on south side of Coffin Butte was a result of military quarry operation.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BFFE336" id="Text Box 9" o:spid="_x0000_s1029" type="#_x0000_t202" style="position:absolute;left:0;text-align:left;margin-left:14.4pt;margin-top:1.8pt;width:439.2pt;height:36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" stroked="f">
                <v:textbox inset="0,0,0,0">
                  <w:txbxContent>
                    <w:p w14:paraId="02129B0C" w14:textId="77777777" w:rsidR="006F646F" w:rsidRPr="007E6DA1" w:rsidRDefault="006F646F" w:rsidP="006F646F">
                      <w:pPr>
                        <w:pStyle w:val="Caption"/>
                        <w:rPr>
                          <w:rFonts w:eastAsia="Calibri" w:cstheme="minorHAnsi"/>
                          <w:noProof/>
                          <w:sz w:val="36"/>
                          <w:szCs w:val="36"/>
                        </w:rPr>
                      </w:pPr>
                      <w:r w:rsidRPr="007E6DA1">
                        <w:rPr>
                          <w:sz w:val="24"/>
                          <w:szCs w:val="24"/>
                        </w:rPr>
                        <w:t xml:space="preserve">Figure </w:t>
                      </w:r>
                      <w:r w:rsidRPr="007E6DA1">
                        <w:rPr>
                          <w:sz w:val="24"/>
                          <w:szCs w:val="24"/>
                        </w:rPr>
                        <w:fldChar w:fldCharType="begin"/>
                      </w:r>
                      <w:r w:rsidRPr="007E6DA1">
                        <w:rPr>
                          <w:sz w:val="24"/>
                          <w:szCs w:val="24"/>
                        </w:rPr>
                        <w:instrText xml:space="preserve"> SEQ Figure \* ARABIC </w:instrText>
                      </w:r>
                      <w:r w:rsidRPr="007E6DA1">
                        <w:rPr>
                          <w:sz w:val="24"/>
                          <w:szCs w:val="24"/>
                        </w:rPr>
                        <w:fldChar w:fldCharType="separate"/>
                      </w:r>
                      <w:r w:rsidRPr="007E6DA1">
                        <w:rPr>
                          <w:noProof/>
                          <w:sz w:val="24"/>
                          <w:szCs w:val="24"/>
                        </w:rPr>
                        <w:t>9</w:t>
                      </w:r>
                      <w:r w:rsidRPr="007E6DA1">
                        <w:rPr>
                          <w:noProof/>
                          <w:sz w:val="24"/>
                          <w:szCs w:val="24"/>
                        </w:rPr>
                        <w:fldChar w:fldCharType="end"/>
                      </w:r>
                      <w:r w:rsidRPr="007E6DA1">
                        <w:rPr>
                          <w:sz w:val="24"/>
                          <w:szCs w:val="24"/>
                        </w:rPr>
                        <w:t>: Wide aerial view dated 6-10-63 (1963).  Pond on south side of Coffin Butte was a result of military quarry operation.</w:t>
                      </w:r>
                    </w:p>
                  </w:txbxContent>
                </v:textbox>
                <w10:wrap type="topAndBottom"/>
              </v:shape>
            </w:pict>
          </mc:Fallback>
        </mc:AlternateContent>
      </w:r>
    </w:p>
    <w:p w14:paraId="6CE4AA08" w14:textId="77777777" w:rsidR="006F646F" w:rsidRPr="0041791D" w:rsidRDefault="006F646F" w:rsidP="006F646F">
      <w:pPr>
        <w:spacing w:after="240" w:line="240" w:lineRule="auto"/>
        <w:ind w:left="360"/>
        <w:rPr>
          <w:rFonts w:eastAsia="Calibri" w:cstheme="minorHAnsi"/>
          <w:sz w:val="24"/>
          <w:szCs w:val="24"/>
        </w:rPr>
      </w:pPr>
    </w:p>
    <w:p w14:paraId="1B5BDBC9" w14:textId="77777777" w:rsidR="006F646F" w:rsidRPr="0041791D" w:rsidRDefault="006F646F" w:rsidP="006F646F">
      <w:pPr>
        <w:spacing w:after="240" w:line="240" w:lineRule="auto"/>
        <w:ind w:left="360"/>
        <w:rPr>
          <w:rFonts w:eastAsia="Calibri" w:cstheme="minorHAnsi"/>
          <w:sz w:val="24"/>
          <w:szCs w:val="24"/>
        </w:rPr>
      </w:pPr>
    </w:p>
    <w:p w14:paraId="2E0B70A2" w14:textId="77777777" w:rsidR="006F646F" w:rsidRPr="0041791D" w:rsidRDefault="006F646F" w:rsidP="006F646F">
      <w:pPr>
        <w:spacing w:after="240" w:line="240" w:lineRule="auto"/>
        <w:rPr>
          <w:rFonts w:eastAsia="Calibri" w:cstheme="minorHAnsi"/>
          <w:sz w:val="24"/>
          <w:szCs w:val="24"/>
        </w:rPr>
      </w:pPr>
      <w:r>
        <w:rPr>
          <w:noProof/>
        </w:rPr>
        <mc:AlternateContent>
          <mc:Choice Requires="wps">
            <w:drawing>
              <wp:anchor distT="0" distB="0" distL="114300" distR="114300" simplePos="0" relativeHeight="251673600" behindDoc="0" locked="0" layoutInCell="1" allowOverlap="1" wp14:anchorId="4C3F0659" wp14:editId="28E3527C">
                <wp:simplePos x="0" y="0"/>
                <wp:positionH relativeFrom="column">
                  <wp:posOffset>-6985</wp:posOffset>
                </wp:positionH>
                <wp:positionV relativeFrom="paragraph">
                  <wp:posOffset>-373380</wp:posOffset>
                </wp:positionV>
                <wp:extent cx="5943600" cy="4572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wps:spPr>
                      <wps:txbx>
                        <w:txbxContent>
                          <w:p w14:paraId="16FCC8F0" w14:textId="77777777" w:rsidR="006F646F" w:rsidRPr="007E6DA1" w:rsidRDefault="006F646F" w:rsidP="006F646F">
                            <w:pPr>
                              <w:pStyle w:val="Caption"/>
                              <w:rPr>
                                <w:rFonts w:eastAsia="Calibri" w:cstheme="minorHAnsi"/>
                                <w:noProof/>
                                <w:sz w:val="36"/>
                                <w:szCs w:val="36"/>
                              </w:rPr>
                            </w:pPr>
                            <w:r w:rsidRPr="007E6DA1">
                              <w:rPr>
                                <w:sz w:val="24"/>
                                <w:szCs w:val="24"/>
                              </w:rPr>
                              <w:t xml:space="preserve">Figure </w:t>
                            </w:r>
                            <w:r w:rsidRPr="007E6DA1">
                              <w:rPr>
                                <w:sz w:val="24"/>
                                <w:szCs w:val="24"/>
                              </w:rPr>
                              <w:fldChar w:fldCharType="begin"/>
                            </w:r>
                            <w:r w:rsidRPr="007E6DA1">
                              <w:rPr>
                                <w:sz w:val="24"/>
                                <w:szCs w:val="24"/>
                              </w:rPr>
                              <w:instrText xml:space="preserve"> SEQ Figure \* ARABIC </w:instrText>
                            </w:r>
                            <w:r w:rsidRPr="007E6DA1">
                              <w:rPr>
                                <w:sz w:val="24"/>
                                <w:szCs w:val="24"/>
                              </w:rPr>
                              <w:fldChar w:fldCharType="separate"/>
                            </w:r>
                            <w:r w:rsidRPr="007E6DA1">
                              <w:rPr>
                                <w:noProof/>
                                <w:sz w:val="24"/>
                                <w:szCs w:val="24"/>
                              </w:rPr>
                              <w:t>10</w:t>
                            </w:r>
                            <w:r w:rsidRPr="007E6DA1">
                              <w:rPr>
                                <w:noProof/>
                                <w:sz w:val="24"/>
                                <w:szCs w:val="24"/>
                              </w:rPr>
                              <w:fldChar w:fldCharType="end"/>
                            </w:r>
                            <w:r w:rsidRPr="007E6DA1">
                              <w:rPr>
                                <w:sz w:val="24"/>
                                <w:szCs w:val="24"/>
                              </w:rPr>
                              <w:t>: Reported 1978 image of vehicles in line at the landfill.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3F0659" id="Text Box 11" o:spid="_x0000_s1030" type="#_x0000_t202" style="position:absolute;margin-left:-.55pt;margin-top:-29.4pt;width:468pt;height:3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" stroked="f">
                <v:textbox inset="0,0,0,0">
                  <w:txbxContent>
                    <w:p w14:paraId="16FCC8F0" w14:textId="77777777" w:rsidR="006F646F" w:rsidRPr="007E6DA1" w:rsidRDefault="006F646F" w:rsidP="006F646F">
                      <w:pPr>
                        <w:pStyle w:val="Caption"/>
                        <w:rPr>
                          <w:rFonts w:eastAsia="Calibri" w:cstheme="minorHAnsi"/>
                          <w:noProof/>
                          <w:sz w:val="36"/>
                          <w:szCs w:val="36"/>
                        </w:rPr>
                      </w:pPr>
                      <w:r w:rsidRPr="007E6DA1">
                        <w:rPr>
                          <w:sz w:val="24"/>
                          <w:szCs w:val="24"/>
                        </w:rPr>
                        <w:t xml:space="preserve">Figure </w:t>
                      </w:r>
                      <w:r w:rsidRPr="007E6DA1">
                        <w:rPr>
                          <w:sz w:val="24"/>
                          <w:szCs w:val="24"/>
                        </w:rPr>
                        <w:fldChar w:fldCharType="begin"/>
                      </w:r>
                      <w:r w:rsidRPr="007E6DA1">
                        <w:rPr>
                          <w:sz w:val="24"/>
                          <w:szCs w:val="24"/>
                        </w:rPr>
                        <w:instrText xml:space="preserve"> SEQ Figure \* ARABIC </w:instrText>
                      </w:r>
                      <w:r w:rsidRPr="007E6DA1">
                        <w:rPr>
                          <w:sz w:val="24"/>
                          <w:szCs w:val="24"/>
                        </w:rPr>
                        <w:fldChar w:fldCharType="separate"/>
                      </w:r>
                      <w:r w:rsidRPr="007E6DA1">
                        <w:rPr>
                          <w:noProof/>
                          <w:sz w:val="24"/>
                          <w:szCs w:val="24"/>
                        </w:rPr>
                        <w:t>10</w:t>
                      </w:r>
                      <w:r w:rsidRPr="007E6DA1">
                        <w:rPr>
                          <w:noProof/>
                          <w:sz w:val="24"/>
                          <w:szCs w:val="24"/>
                        </w:rPr>
                        <w:fldChar w:fldCharType="end"/>
                      </w:r>
                      <w:r w:rsidRPr="007E6DA1">
                        <w:rPr>
                          <w:sz w:val="24"/>
                          <w:szCs w:val="24"/>
                        </w:rPr>
                        <w:t>: Reported 1978 image of vehicles in line at the landfill.</w:t>
                      </w:r>
                    </w:p>
                  </w:txbxContent>
                </v:textbox>
              </v:shape>
            </w:pict>
          </mc:Fallback>
        </mc:AlternateContent>
      </w:r>
      <w:r>
        <w:rPr>
          <w:rFonts w:eastAsia="Calibri" w:cstheme="minorHAnsi"/>
          <w:noProof/>
          <w:sz w:val="24"/>
          <w:szCs w:val="24"/>
        </w:rPr>
        <w:drawing>
          <wp:anchor distT="0" distB="0" distL="114300" distR="114300" simplePos="0" relativeHeight="251666432" behindDoc="0" locked="0" layoutInCell="1" allowOverlap="1" wp14:anchorId="33E023D5" wp14:editId="38CB727A">
            <wp:simplePos x="0" y="0"/>
            <wp:positionH relativeFrom="column">
              <wp:posOffset>-7315</wp:posOffset>
            </wp:positionH>
            <wp:positionV relativeFrom="paragraph">
              <wp:posOffset>84330</wp:posOffset>
            </wp:positionV>
            <wp:extent cx="5943600" cy="4011930"/>
            <wp:effectExtent l="0" t="0" r="0" b="7620"/>
            <wp:wrapNone/>
            <wp:docPr id="250361744" name="Picture 250361744" descr="A picture containing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61744" name="Picture 250361744" descr="A picture containing outdoor, sky&#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43600" cy="4011930"/>
                    </a:xfrm>
                    <a:prstGeom prst="rect">
                      <a:avLst/>
                    </a:prstGeom>
                  </pic:spPr>
                </pic:pic>
              </a:graphicData>
            </a:graphic>
          </wp:anchor>
        </w:drawing>
      </w:r>
      <w:r w:rsidRPr="0041791D">
        <w:rPr>
          <w:rFonts w:eastAsia="Calibri" w:cstheme="minorHAnsi"/>
          <w:sz w:val="24"/>
          <w:szCs w:val="24"/>
        </w:rPr>
        <w:br w:type="page"/>
      </w:r>
    </w:p>
    <w:p w14:paraId="07ECBCB0" w14:textId="77777777" w:rsidR="006F646F" w:rsidRPr="0041791D" w:rsidRDefault="006F646F" w:rsidP="006F646F">
      <w:pPr>
        <w:spacing w:after="240" w:line="240" w:lineRule="auto"/>
        <w:ind w:left="360"/>
        <w:rPr>
          <w:rFonts w:eastAsia="Calibri" w:cstheme="minorHAnsi"/>
          <w:sz w:val="24"/>
          <w:szCs w:val="24"/>
        </w:rPr>
      </w:pPr>
      <w:r>
        <w:rPr>
          <w:noProof/>
        </w:rPr>
        <mc:AlternateContent>
          <mc:Choice Requires="wps">
            <w:drawing>
              <wp:anchor distT="0" distB="0" distL="114300" distR="114300" simplePos="0" relativeHeight="251674624" behindDoc="0" locked="0" layoutInCell="1" allowOverlap="1" wp14:anchorId="6FF392D3" wp14:editId="6E54A70E">
                <wp:simplePos x="0" y="0"/>
                <wp:positionH relativeFrom="column">
                  <wp:posOffset>-8255</wp:posOffset>
                </wp:positionH>
                <wp:positionV relativeFrom="paragraph">
                  <wp:posOffset>88265</wp:posOffset>
                </wp:positionV>
                <wp:extent cx="5723255" cy="457200"/>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5723255" cy="457200"/>
                        </a:xfrm>
                        <a:prstGeom prst="rect">
                          <a:avLst/>
                        </a:prstGeom>
                        <a:solidFill>
                          <a:prstClr val="white"/>
                        </a:solidFill>
                        <a:ln>
                          <a:noFill/>
                        </a:ln>
                      </wps:spPr>
                      <wps:txbx>
                        <w:txbxContent>
                          <w:p w14:paraId="1BF155BF" w14:textId="77777777" w:rsidR="006F646F" w:rsidRPr="007E6DA1" w:rsidRDefault="006F646F" w:rsidP="006F646F">
                            <w:pPr>
                              <w:pStyle w:val="Caption"/>
                              <w:rPr>
                                <w:rFonts w:eastAsia="Calibri" w:cstheme="minorHAnsi"/>
                                <w:noProof/>
                                <w:sz w:val="36"/>
                                <w:szCs w:val="36"/>
                              </w:rPr>
                            </w:pPr>
                            <w:r w:rsidRPr="007E6DA1">
                              <w:rPr>
                                <w:sz w:val="24"/>
                                <w:szCs w:val="24"/>
                              </w:rPr>
                              <w:t xml:space="preserve">Figure </w:t>
                            </w:r>
                            <w:r w:rsidRPr="007E6DA1">
                              <w:rPr>
                                <w:sz w:val="24"/>
                                <w:szCs w:val="24"/>
                              </w:rPr>
                              <w:fldChar w:fldCharType="begin"/>
                            </w:r>
                            <w:r w:rsidRPr="007E6DA1">
                              <w:rPr>
                                <w:sz w:val="24"/>
                                <w:szCs w:val="24"/>
                              </w:rPr>
                              <w:instrText xml:space="preserve"> SEQ Figure \* ARABIC </w:instrText>
                            </w:r>
                            <w:r w:rsidRPr="007E6DA1">
                              <w:rPr>
                                <w:sz w:val="24"/>
                                <w:szCs w:val="24"/>
                              </w:rPr>
                              <w:fldChar w:fldCharType="separate"/>
                            </w:r>
                            <w:r w:rsidRPr="007E6DA1">
                              <w:rPr>
                                <w:noProof/>
                                <w:sz w:val="24"/>
                                <w:szCs w:val="24"/>
                              </w:rPr>
                              <w:t>11</w:t>
                            </w:r>
                            <w:r w:rsidRPr="007E6DA1">
                              <w:rPr>
                                <w:noProof/>
                                <w:sz w:val="24"/>
                                <w:szCs w:val="24"/>
                              </w:rPr>
                              <w:fldChar w:fldCharType="end"/>
                            </w:r>
                            <w:r w:rsidRPr="007E6DA1">
                              <w:rPr>
                                <w:sz w:val="24"/>
                                <w:szCs w:val="24"/>
                              </w:rPr>
                              <w:t>: 2008 aerial view, from the 2008 Coffin Butte Landfill Annual Report, Republic Services, Inc.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FF392D3" id="Text Box 17" o:spid="_x0000_s1031" type="#_x0000_t202" style="position:absolute;left:0;text-align:left;margin-left:-.65pt;margin-top:6.95pt;width:450.65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" stroked="f">
                <v:textbox inset="0,0,0,0">
                  <w:txbxContent>
                    <w:p w14:paraId="1BF155BF" w14:textId="77777777" w:rsidR="006F646F" w:rsidRPr="007E6DA1" w:rsidRDefault="006F646F" w:rsidP="006F646F">
                      <w:pPr>
                        <w:pStyle w:val="Caption"/>
                        <w:rPr>
                          <w:rFonts w:eastAsia="Calibri" w:cstheme="minorHAnsi"/>
                          <w:noProof/>
                          <w:sz w:val="36"/>
                          <w:szCs w:val="36"/>
                        </w:rPr>
                      </w:pPr>
                      <w:r w:rsidRPr="007E6DA1">
                        <w:rPr>
                          <w:sz w:val="24"/>
                          <w:szCs w:val="24"/>
                        </w:rPr>
                        <w:t xml:space="preserve">Figure </w:t>
                      </w:r>
                      <w:r w:rsidRPr="007E6DA1">
                        <w:rPr>
                          <w:sz w:val="24"/>
                          <w:szCs w:val="24"/>
                        </w:rPr>
                        <w:fldChar w:fldCharType="begin"/>
                      </w:r>
                      <w:r w:rsidRPr="007E6DA1">
                        <w:rPr>
                          <w:sz w:val="24"/>
                          <w:szCs w:val="24"/>
                        </w:rPr>
                        <w:instrText xml:space="preserve"> SEQ Figure \* ARABIC </w:instrText>
                      </w:r>
                      <w:r w:rsidRPr="007E6DA1">
                        <w:rPr>
                          <w:sz w:val="24"/>
                          <w:szCs w:val="24"/>
                        </w:rPr>
                        <w:fldChar w:fldCharType="separate"/>
                      </w:r>
                      <w:r w:rsidRPr="007E6DA1">
                        <w:rPr>
                          <w:noProof/>
                          <w:sz w:val="24"/>
                          <w:szCs w:val="24"/>
                        </w:rPr>
                        <w:t>11</w:t>
                      </w:r>
                      <w:r w:rsidRPr="007E6DA1">
                        <w:rPr>
                          <w:noProof/>
                          <w:sz w:val="24"/>
                          <w:szCs w:val="24"/>
                        </w:rPr>
                        <w:fldChar w:fldCharType="end"/>
                      </w:r>
                      <w:r w:rsidRPr="007E6DA1">
                        <w:rPr>
                          <w:sz w:val="24"/>
                          <w:szCs w:val="24"/>
                        </w:rPr>
                        <w:t>: 2008 aerial view, from the 2008 Coffin Butte Landfill Annual Report, Republic Services, Inc.</w:t>
                      </w:r>
                    </w:p>
                  </w:txbxContent>
                </v:textbox>
                <w10:wrap type="topAndBottom"/>
              </v:shape>
            </w:pict>
          </mc:Fallback>
        </mc:AlternateContent>
      </w:r>
      <w:r>
        <w:rPr>
          <w:rFonts w:eastAsia="Calibri" w:cstheme="minorHAnsi"/>
          <w:noProof/>
          <w:sz w:val="24"/>
          <w:szCs w:val="24"/>
        </w:rPr>
        <w:drawing>
          <wp:anchor distT="0" distB="0" distL="114300" distR="114300" simplePos="0" relativeHeight="251667456" behindDoc="0" locked="0" layoutInCell="1" allowOverlap="1" wp14:anchorId="4099AE69" wp14:editId="62C4C264">
            <wp:simplePos x="0" y="0"/>
            <wp:positionH relativeFrom="column">
              <wp:posOffset>-8479</wp:posOffset>
            </wp:positionH>
            <wp:positionV relativeFrom="paragraph">
              <wp:posOffset>545537</wp:posOffset>
            </wp:positionV>
            <wp:extent cx="5723255" cy="4131310"/>
            <wp:effectExtent l="0" t="0" r="0" b="2540"/>
            <wp:wrapTopAndBottom/>
            <wp:docPr id="250361747" name="Picture 25036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61747" name="Picture 250361747"/>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3255" cy="4131310"/>
                    </a:xfrm>
                    <a:prstGeom prst="rect">
                      <a:avLst/>
                    </a:prstGeom>
                    <a:noFill/>
                    <a:ln>
                      <a:noFill/>
                    </a:ln>
                  </pic:spPr>
                </pic:pic>
              </a:graphicData>
            </a:graphic>
          </wp:anchor>
        </w:drawing>
      </w:r>
    </w:p>
    <w:p w14:paraId="200F6A81" w14:textId="77777777" w:rsidR="006F646F" w:rsidRPr="0041791D" w:rsidRDefault="006F646F" w:rsidP="006F646F">
      <w:pPr>
        <w:spacing w:after="0" w:line="240" w:lineRule="auto"/>
        <w:rPr>
          <w:rFonts w:eastAsia="Calibri" w:cstheme="minorHAnsi"/>
          <w:sz w:val="24"/>
          <w:szCs w:val="24"/>
        </w:rPr>
      </w:pPr>
    </w:p>
    <w:p w14:paraId="0A75A40B" w14:textId="77777777" w:rsidR="006F646F" w:rsidRPr="0041791D" w:rsidRDefault="006F646F" w:rsidP="006F646F">
      <w:pPr>
        <w:rPr>
          <w:rFonts w:eastAsia="Calibri" w:cstheme="minorHAnsi"/>
          <w:sz w:val="24"/>
          <w:szCs w:val="24"/>
        </w:rPr>
      </w:pPr>
    </w:p>
    <w:p w14:paraId="5E22F0EB" w14:textId="77777777" w:rsidR="006F646F" w:rsidRPr="0041791D" w:rsidRDefault="006F646F" w:rsidP="006F646F">
      <w:pPr>
        <w:pStyle w:val="Caption"/>
        <w:keepNext/>
        <w:rPr>
          <w:rFonts w:cstheme="minorHAnsi"/>
          <w:sz w:val="24"/>
          <w:szCs w:val="24"/>
        </w:rPr>
      </w:pPr>
      <w:r w:rsidRPr="0041791D">
        <w:rPr>
          <w:rFonts w:cstheme="minorHAnsi"/>
          <w:sz w:val="24"/>
          <w:szCs w:val="24"/>
        </w:rPr>
        <w:t xml:space="preserve">Figure </w:t>
      </w:r>
      <w:r>
        <w:rPr>
          <w:rFonts w:cstheme="minorHAnsi"/>
          <w:sz w:val="24"/>
          <w:szCs w:val="24"/>
        </w:rPr>
        <w:fldChar w:fldCharType="begin"/>
      </w:r>
      <w:r>
        <w:rPr>
          <w:rFonts w:cstheme="minorHAnsi"/>
          <w:sz w:val="24"/>
          <w:szCs w:val="24"/>
        </w:rPr>
        <w:instrText xml:space="preserve"> SEQ Figure \* ARABIC </w:instrText>
      </w:r>
      <w:r>
        <w:rPr>
          <w:rFonts w:cstheme="minorHAnsi"/>
          <w:sz w:val="24"/>
          <w:szCs w:val="24"/>
        </w:rPr>
        <w:fldChar w:fldCharType="separate"/>
      </w:r>
      <w:r>
        <w:rPr>
          <w:rFonts w:cstheme="minorHAnsi"/>
          <w:noProof/>
          <w:sz w:val="24"/>
          <w:szCs w:val="24"/>
        </w:rPr>
        <w:t>12</w:t>
      </w:r>
      <w:r>
        <w:rPr>
          <w:rFonts w:cstheme="minorHAnsi"/>
          <w:sz w:val="24"/>
          <w:szCs w:val="24"/>
        </w:rPr>
        <w:fldChar w:fldCharType="end"/>
      </w:r>
      <w:r w:rsidRPr="0041791D">
        <w:rPr>
          <w:rFonts w:cstheme="minorHAnsi"/>
          <w:sz w:val="24"/>
          <w:szCs w:val="24"/>
        </w:rPr>
        <w:t xml:space="preserve">: </w:t>
      </w:r>
      <w:r w:rsidRPr="0041791D">
        <w:rPr>
          <w:rFonts w:eastAsia="Calibri" w:cstheme="minorHAnsi"/>
          <w:sz w:val="24"/>
          <w:szCs w:val="24"/>
        </w:rPr>
        <w:t>Aerial image from Fall 2022</w:t>
      </w:r>
    </w:p>
    <w:p w14:paraId="7D8146AD" w14:textId="77777777" w:rsidR="006F646F" w:rsidRPr="0041791D" w:rsidRDefault="006F646F" w:rsidP="006F646F">
      <w:pPr>
        <w:rPr>
          <w:rFonts w:eastAsia="Calibri" w:cstheme="minorHAnsi"/>
          <w:sz w:val="24"/>
          <w:szCs w:val="24"/>
        </w:rPr>
      </w:pPr>
      <w:r w:rsidRPr="0041791D">
        <w:rPr>
          <w:rFonts w:cstheme="minorHAnsi"/>
          <w:noProof/>
          <w:sz w:val="24"/>
          <w:szCs w:val="24"/>
        </w:rPr>
        <w:drawing>
          <wp:inline distT="0" distB="0" distL="0" distR="0" wp14:anchorId="316264C6" wp14:editId="26C0CFBB">
            <wp:extent cx="6217920" cy="3500755"/>
            <wp:effectExtent l="0" t="0" r="0" b="4445"/>
            <wp:docPr id="250361753" name="Picture 250361753" descr="A picture containing grass, outdoor,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nature, mountain&#10;&#10;Description automatically generated"/>
                    <pic:cNvPicPr/>
                  </pic:nvPicPr>
                  <pic:blipFill>
                    <a:blip r:embed="rId25"/>
                    <a:stretch>
                      <a:fillRect/>
                    </a:stretch>
                  </pic:blipFill>
                  <pic:spPr>
                    <a:xfrm>
                      <a:off x="0" y="0"/>
                      <a:ext cx="6217920" cy="3500755"/>
                    </a:xfrm>
                    <a:prstGeom prst="rect">
                      <a:avLst/>
                    </a:prstGeom>
                  </pic:spPr>
                </pic:pic>
              </a:graphicData>
            </a:graphic>
          </wp:inline>
        </w:drawing>
      </w:r>
    </w:p>
    <w:p w14:paraId="63815CD9" w14:textId="77777777" w:rsidR="006F646F" w:rsidRPr="0041791D" w:rsidRDefault="006F646F" w:rsidP="006F646F">
      <w:pPr>
        <w:rPr>
          <w:rFonts w:eastAsia="Calibri" w:cstheme="minorHAnsi"/>
          <w:sz w:val="24"/>
          <w:szCs w:val="24"/>
        </w:rPr>
      </w:pPr>
    </w:p>
    <w:p w14:paraId="74D3D05D" w14:textId="77777777" w:rsidR="006F646F" w:rsidRPr="0041791D" w:rsidRDefault="006F646F" w:rsidP="006F646F">
      <w:pPr>
        <w:rPr>
          <w:rFonts w:eastAsia="Calibri" w:cstheme="minorHAnsi"/>
          <w:sz w:val="24"/>
          <w:szCs w:val="24"/>
        </w:rPr>
      </w:pPr>
    </w:p>
    <w:p w14:paraId="7CED7053" w14:textId="77777777" w:rsidR="006F646F" w:rsidRPr="0041791D" w:rsidRDefault="006F646F" w:rsidP="006F646F">
      <w:pPr>
        <w:rPr>
          <w:rFonts w:eastAsia="Calibri" w:cstheme="minorHAnsi"/>
          <w:sz w:val="24"/>
          <w:szCs w:val="24"/>
        </w:rPr>
      </w:pPr>
    </w:p>
    <w:p w14:paraId="3BFB19C3" w14:textId="77777777" w:rsidR="006F646F" w:rsidRPr="0041791D" w:rsidRDefault="006F646F" w:rsidP="006F646F">
      <w:pPr>
        <w:rPr>
          <w:rFonts w:eastAsia="Calibri" w:cstheme="minorHAnsi"/>
          <w:sz w:val="24"/>
          <w:szCs w:val="24"/>
        </w:rPr>
      </w:pPr>
    </w:p>
    <w:p w14:paraId="2B182030" w14:textId="77777777" w:rsidR="006F646F" w:rsidRPr="0041791D" w:rsidRDefault="006F646F" w:rsidP="006F646F">
      <w:pPr>
        <w:rPr>
          <w:rFonts w:eastAsia="Calibri" w:cstheme="minorHAnsi"/>
          <w:sz w:val="24"/>
          <w:szCs w:val="24"/>
        </w:rPr>
      </w:pPr>
    </w:p>
    <w:p w14:paraId="57979CD0" w14:textId="77777777" w:rsidR="006F646F" w:rsidRPr="0041791D" w:rsidRDefault="006F646F" w:rsidP="006F646F">
      <w:pPr>
        <w:rPr>
          <w:rFonts w:eastAsia="Calibri" w:cstheme="minorHAnsi"/>
          <w:sz w:val="24"/>
          <w:szCs w:val="24"/>
        </w:rPr>
      </w:pPr>
    </w:p>
    <w:p w14:paraId="6E67CD6C" w14:textId="77777777" w:rsidR="006F646F" w:rsidRPr="0041791D" w:rsidRDefault="006F646F" w:rsidP="006F646F">
      <w:pPr>
        <w:rPr>
          <w:rFonts w:eastAsia="Calibri" w:cstheme="minorHAnsi"/>
          <w:sz w:val="24"/>
          <w:szCs w:val="24"/>
        </w:rPr>
      </w:pPr>
    </w:p>
    <w:p w14:paraId="1F409DB9" w14:textId="77777777" w:rsidR="006F646F" w:rsidRPr="0041791D" w:rsidRDefault="006F646F" w:rsidP="006F646F">
      <w:pPr>
        <w:rPr>
          <w:rFonts w:eastAsia="Calibri" w:cstheme="minorHAnsi"/>
          <w:sz w:val="24"/>
          <w:szCs w:val="24"/>
        </w:rPr>
        <w:sectPr w:rsidR="006F646F" w:rsidRPr="0041791D" w:rsidSect="00361B98">
          <w:footerReference w:type="default" r:id="rId26"/>
          <w:pgSz w:w="12240" w:h="15840"/>
          <w:pgMar w:top="1008" w:right="1440" w:bottom="1008" w:left="1440" w:header="432" w:footer="432" w:gutter="0"/>
          <w:cols w:space="720"/>
          <w:docGrid w:linePitch="360"/>
        </w:sectPr>
      </w:pPr>
    </w:p>
    <w:p w14:paraId="0CEF94DB" w14:textId="77777777" w:rsidR="006F646F" w:rsidRDefault="006F646F" w:rsidP="006F646F">
      <w:pPr>
        <w:pStyle w:val="Caption"/>
        <w:keepNext/>
      </w:pPr>
      <w:r>
        <w:t xml:space="preserve">Figure </w:t>
      </w:r>
      <w:r>
        <w:fldChar w:fldCharType="begin"/>
      </w:r>
      <w:r>
        <w:instrText xml:space="preserve"> SEQ Figure \* ARABIC </w:instrText>
      </w:r>
      <w:r>
        <w:fldChar w:fldCharType="separate"/>
      </w:r>
      <w:r>
        <w:rPr>
          <w:noProof/>
        </w:rPr>
        <w:t>13</w:t>
      </w:r>
      <w:r>
        <w:rPr>
          <w:noProof/>
        </w:rPr>
        <w:fldChar w:fldCharType="end"/>
      </w:r>
      <w:r>
        <w:t>: Additional Aerial Photography of Coffin Butte Landfill over Time (1954-2020)</w:t>
      </w:r>
    </w:p>
    <w:p w14:paraId="5E2E5672" w14:textId="77777777" w:rsidR="006F646F" w:rsidRPr="0041791D" w:rsidRDefault="006F646F" w:rsidP="006F646F">
      <w:pPr>
        <w:rPr>
          <w:rFonts w:eastAsia="Calibri" w:cstheme="minorHAnsi"/>
          <w:sz w:val="24"/>
          <w:szCs w:val="24"/>
        </w:rPr>
      </w:pPr>
      <w:r>
        <w:rPr>
          <w:rFonts w:eastAsia="Calibri" w:cstheme="minorHAnsi"/>
          <w:noProof/>
          <w:sz w:val="24"/>
          <w:szCs w:val="24"/>
        </w:rPr>
        <w:t>[Temporarilly removed to reduce File Size]</w:t>
      </w:r>
    </w:p>
    <w:p w14:paraId="32B738CB" w14:textId="77777777" w:rsidR="006F646F" w:rsidRPr="0041791D" w:rsidRDefault="006F646F" w:rsidP="006F646F">
      <w:pPr>
        <w:rPr>
          <w:rFonts w:eastAsia="Calibri" w:cstheme="minorHAnsi"/>
          <w:sz w:val="24"/>
          <w:szCs w:val="24"/>
        </w:rPr>
      </w:pPr>
    </w:p>
    <w:p w14:paraId="3A0A945F" w14:textId="77777777" w:rsidR="006F646F" w:rsidRPr="0041791D" w:rsidRDefault="006F646F" w:rsidP="006F646F">
      <w:pPr>
        <w:keepNext/>
        <w:keepLines/>
        <w:numPr>
          <w:ilvl w:val="0"/>
          <w:numId w:val="7"/>
        </w:numPr>
        <w:spacing w:after="240" w:line="240" w:lineRule="auto"/>
        <w:ind w:hanging="180"/>
        <w:outlineLvl w:val="2"/>
        <w:rPr>
          <w:rFonts w:eastAsia="Times New Roman" w:cstheme="minorHAnsi"/>
          <w:b/>
          <w:bCs/>
          <w:sz w:val="24"/>
          <w:szCs w:val="24"/>
        </w:rPr>
      </w:pPr>
      <w:bookmarkStart w:id="120" w:name="_Toc128666875"/>
      <w:bookmarkStart w:id="121" w:name="_Toc129256709"/>
      <w:r w:rsidRPr="0041791D">
        <w:rPr>
          <w:rFonts w:eastAsia="Times New Roman" w:cstheme="minorHAnsi"/>
          <w:b/>
          <w:bCs/>
          <w:sz w:val="24"/>
          <w:szCs w:val="24"/>
        </w:rPr>
        <w:t>Current footprint</w:t>
      </w:r>
      <w:bookmarkEnd w:id="120"/>
      <w:bookmarkEnd w:id="121"/>
    </w:p>
    <w:p w14:paraId="42EAC512" w14:textId="77777777" w:rsidR="006F646F" w:rsidRPr="0041791D" w:rsidRDefault="006F646F" w:rsidP="006F646F">
      <w:pPr>
        <w:autoSpaceDE w:val="0"/>
        <w:autoSpaceDN w:val="0"/>
        <w:adjustRightInd w:val="0"/>
        <w:spacing w:after="0" w:line="240" w:lineRule="auto"/>
        <w:rPr>
          <w:rFonts w:eastAsia="Calibri" w:cstheme="minorHAnsi"/>
          <w:i/>
          <w:color w:val="FF0000"/>
          <w:sz w:val="24"/>
          <w:szCs w:val="24"/>
        </w:rPr>
      </w:pPr>
      <w:r w:rsidRPr="0041791D">
        <w:rPr>
          <w:rFonts w:eastAsia="Calibri" w:cstheme="minorHAnsi"/>
          <w:sz w:val="24"/>
          <w:szCs w:val="24"/>
        </w:rPr>
        <w:t xml:space="preserve">The real estate footprint of the landfill is shown in </w:t>
      </w:r>
      <w:r w:rsidRPr="0041791D">
        <w:rPr>
          <w:rFonts w:eastAsia="Calibri" w:cstheme="minorHAnsi"/>
          <w:sz w:val="24"/>
          <w:szCs w:val="24"/>
        </w:rPr>
        <w:fldChar w:fldCharType="begin"/>
      </w:r>
      <w:r w:rsidRPr="0041791D">
        <w:rPr>
          <w:rFonts w:eastAsia="Calibri" w:cstheme="minorHAnsi"/>
          <w:sz w:val="24"/>
          <w:szCs w:val="24"/>
        </w:rPr>
        <w:instrText xml:space="preserve"> REF _Ref124406907 \h  \* MERGEFORMAT </w:instrText>
      </w:r>
      <w:r w:rsidRPr="0041791D">
        <w:rPr>
          <w:rFonts w:eastAsia="Calibri" w:cstheme="minorHAnsi"/>
          <w:sz w:val="24"/>
          <w:szCs w:val="24"/>
        </w:rPr>
      </w:r>
      <w:r w:rsidRPr="0041791D">
        <w:rPr>
          <w:rFonts w:eastAsia="Calibri" w:cstheme="minorHAnsi"/>
          <w:sz w:val="24"/>
          <w:szCs w:val="24"/>
        </w:rPr>
        <w:fldChar w:fldCharType="separate"/>
      </w:r>
      <w:r w:rsidRPr="0041791D">
        <w:rPr>
          <w:rFonts w:eastAsia="Calibri" w:cstheme="minorHAnsi"/>
          <w:sz w:val="24"/>
          <w:szCs w:val="24"/>
        </w:rPr>
        <w:t xml:space="preserve">Figure </w:t>
      </w:r>
      <w:r w:rsidRPr="0041791D">
        <w:rPr>
          <w:rFonts w:eastAsia="Calibri" w:cstheme="minorHAnsi"/>
          <w:noProof/>
          <w:sz w:val="24"/>
          <w:szCs w:val="24"/>
        </w:rPr>
        <w:t>1</w:t>
      </w:r>
      <w:r w:rsidRPr="0041791D">
        <w:rPr>
          <w:rFonts w:eastAsia="Calibri" w:cstheme="minorHAnsi"/>
          <w:sz w:val="24"/>
          <w:szCs w:val="24"/>
        </w:rPr>
        <w:t>: Properties associated with the landfill, numbered in coordination with the table in Appendix C</w:t>
      </w:r>
      <w:r w:rsidRPr="0041791D">
        <w:rPr>
          <w:rFonts w:eastAsia="Calibri" w:cstheme="minorHAnsi"/>
          <w:sz w:val="24"/>
          <w:szCs w:val="24"/>
        </w:rPr>
        <w:fldChar w:fldCharType="end"/>
      </w:r>
      <w:r w:rsidRPr="0041791D">
        <w:rPr>
          <w:rFonts w:eastAsia="Calibri" w:cstheme="minorHAnsi"/>
          <w:sz w:val="24"/>
          <w:szCs w:val="24"/>
        </w:rPr>
        <w:t xml:space="preserve">, and </w:t>
      </w:r>
      <w:r w:rsidRPr="0041791D">
        <w:rPr>
          <w:rFonts w:eastAsia="Calibri" w:cstheme="minorHAnsi"/>
          <w:sz w:val="24"/>
          <w:szCs w:val="24"/>
        </w:rPr>
        <w:fldChar w:fldCharType="begin"/>
      </w:r>
      <w:r w:rsidRPr="0041791D">
        <w:rPr>
          <w:rFonts w:eastAsia="Calibri" w:cstheme="minorHAnsi"/>
          <w:sz w:val="24"/>
          <w:szCs w:val="24"/>
        </w:rPr>
        <w:instrText xml:space="preserve"> REF _Ref124406916 \h  \* MERGEFORMAT </w:instrText>
      </w:r>
      <w:r w:rsidRPr="0041791D">
        <w:rPr>
          <w:rFonts w:eastAsia="Calibri" w:cstheme="minorHAnsi"/>
          <w:sz w:val="24"/>
          <w:szCs w:val="24"/>
        </w:rPr>
      </w:r>
      <w:r w:rsidRPr="0041791D">
        <w:rPr>
          <w:rFonts w:eastAsia="Calibri" w:cstheme="minorHAnsi"/>
          <w:sz w:val="24"/>
          <w:szCs w:val="24"/>
        </w:rPr>
        <w:fldChar w:fldCharType="separate"/>
      </w:r>
      <w:r w:rsidRPr="0041791D">
        <w:rPr>
          <w:rFonts w:eastAsia="Calibri" w:cstheme="minorHAnsi"/>
          <w:sz w:val="24"/>
          <w:szCs w:val="24"/>
        </w:rPr>
        <w:t xml:space="preserve">Figure </w:t>
      </w:r>
      <w:r w:rsidRPr="0041791D">
        <w:rPr>
          <w:rFonts w:eastAsia="Calibri" w:cstheme="minorHAnsi"/>
          <w:noProof/>
          <w:sz w:val="24"/>
          <w:szCs w:val="24"/>
        </w:rPr>
        <w:t>2</w:t>
      </w:r>
      <w:r w:rsidRPr="0041791D">
        <w:rPr>
          <w:rFonts w:eastAsia="Calibri" w:cstheme="minorHAnsi"/>
          <w:sz w:val="24"/>
          <w:szCs w:val="24"/>
        </w:rPr>
        <w:t>: Property map, with years each property was purchased by a landfill-affiliated organization</w:t>
      </w:r>
      <w:r w:rsidRPr="0041791D">
        <w:rPr>
          <w:rFonts w:eastAsia="Calibri" w:cstheme="minorHAnsi"/>
          <w:sz w:val="24"/>
          <w:szCs w:val="24"/>
        </w:rPr>
        <w:fldChar w:fldCharType="end"/>
      </w:r>
      <w:r w:rsidRPr="0041791D">
        <w:rPr>
          <w:rFonts w:eastAsia="Calibri" w:cstheme="minorHAnsi"/>
          <w:sz w:val="24"/>
          <w:szCs w:val="24"/>
        </w:rPr>
        <w:t xml:space="preserve">, below.  See Appendix C for a detailed table of landfill property by </w:t>
      </w:r>
      <w:proofErr w:type="spellStart"/>
      <w:r w:rsidRPr="0041791D">
        <w:rPr>
          <w:rFonts w:eastAsia="Calibri" w:cstheme="minorHAnsi"/>
          <w:sz w:val="24"/>
          <w:szCs w:val="24"/>
        </w:rPr>
        <w:t>taxlot</w:t>
      </w:r>
      <w:proofErr w:type="spellEnd"/>
      <w:r w:rsidRPr="0041791D">
        <w:rPr>
          <w:rFonts w:eastAsia="Calibri" w:cstheme="minorHAnsi"/>
          <w:sz w:val="24"/>
          <w:szCs w:val="24"/>
        </w:rPr>
        <w:t>.</w:t>
      </w:r>
    </w:p>
    <w:p w14:paraId="43972519" w14:textId="77777777" w:rsidR="006F646F" w:rsidRPr="0041791D" w:rsidRDefault="006F646F" w:rsidP="006F646F">
      <w:pPr>
        <w:autoSpaceDE w:val="0"/>
        <w:autoSpaceDN w:val="0"/>
        <w:adjustRightInd w:val="0"/>
        <w:spacing w:after="0" w:line="240" w:lineRule="auto"/>
        <w:rPr>
          <w:rFonts w:eastAsia="Calibri" w:cstheme="minorHAnsi"/>
          <w:i/>
          <w:color w:val="FF0000"/>
          <w:sz w:val="24"/>
          <w:szCs w:val="24"/>
        </w:rPr>
      </w:pPr>
    </w:p>
    <w:p w14:paraId="1876F698" w14:textId="77777777" w:rsidR="006F646F" w:rsidRPr="0041791D" w:rsidRDefault="006F646F" w:rsidP="006F646F">
      <w:pPr>
        <w:autoSpaceDE w:val="0"/>
        <w:autoSpaceDN w:val="0"/>
        <w:adjustRightInd w:val="0"/>
        <w:spacing w:after="0" w:line="240" w:lineRule="auto"/>
        <w:rPr>
          <w:rFonts w:eastAsia="Calibri" w:cstheme="minorHAnsi"/>
          <w:i/>
          <w:color w:val="FF0000"/>
          <w:sz w:val="24"/>
          <w:szCs w:val="24"/>
        </w:rPr>
      </w:pPr>
    </w:p>
    <w:p w14:paraId="26DED5C6" w14:textId="77777777" w:rsidR="006F646F" w:rsidRPr="007E6DA1" w:rsidRDefault="006F646F" w:rsidP="006F646F">
      <w:pPr>
        <w:keepNext/>
        <w:spacing w:line="240" w:lineRule="auto"/>
        <w:rPr>
          <w:rFonts w:eastAsia="MS Mincho" w:cstheme="minorHAnsi"/>
          <w:i/>
          <w:iCs/>
          <w:color w:val="595959"/>
          <w:sz w:val="24"/>
          <w:szCs w:val="24"/>
        </w:rPr>
      </w:pPr>
      <w:r w:rsidRPr="007E6DA1">
        <w:rPr>
          <w:rFonts w:eastAsia="MS Mincho" w:cstheme="minorHAnsi"/>
          <w:i/>
          <w:iCs/>
          <w:color w:val="595959"/>
          <w:sz w:val="24"/>
          <w:szCs w:val="24"/>
        </w:rPr>
        <w:t xml:space="preserve">Figure </w:t>
      </w:r>
      <w:r w:rsidRPr="007E6DA1">
        <w:rPr>
          <w:rFonts w:eastAsia="MS Mincho" w:cstheme="minorHAnsi"/>
          <w:i/>
          <w:iCs/>
          <w:color w:val="595959"/>
          <w:sz w:val="24"/>
          <w:szCs w:val="24"/>
        </w:rPr>
        <w:fldChar w:fldCharType="begin"/>
      </w:r>
      <w:r w:rsidRPr="007E6DA1">
        <w:rPr>
          <w:rFonts w:eastAsia="MS Mincho" w:cstheme="minorHAnsi"/>
          <w:i/>
          <w:iCs/>
          <w:color w:val="595959"/>
          <w:sz w:val="24"/>
          <w:szCs w:val="24"/>
        </w:rPr>
        <w:instrText xml:space="preserve"> SEQ Figure \* ARABIC </w:instrText>
      </w:r>
      <w:r w:rsidRPr="007E6DA1">
        <w:rPr>
          <w:rFonts w:eastAsia="MS Mincho" w:cstheme="minorHAnsi"/>
          <w:i/>
          <w:iCs/>
          <w:color w:val="595959"/>
          <w:sz w:val="24"/>
          <w:szCs w:val="24"/>
        </w:rPr>
        <w:fldChar w:fldCharType="separate"/>
      </w:r>
      <w:r w:rsidRPr="007E6DA1">
        <w:rPr>
          <w:rFonts w:eastAsia="MS Mincho" w:cstheme="minorHAnsi"/>
          <w:i/>
          <w:iCs/>
          <w:noProof/>
          <w:color w:val="595959"/>
          <w:sz w:val="24"/>
          <w:szCs w:val="24"/>
        </w:rPr>
        <w:t>14</w:t>
      </w:r>
      <w:r w:rsidRPr="007E6DA1">
        <w:rPr>
          <w:rFonts w:eastAsia="MS Mincho" w:cstheme="minorHAnsi"/>
          <w:i/>
          <w:iCs/>
          <w:color w:val="595959"/>
          <w:sz w:val="24"/>
          <w:szCs w:val="24"/>
        </w:rPr>
        <w:fldChar w:fldCharType="end"/>
      </w:r>
      <w:r w:rsidRPr="007E6DA1">
        <w:rPr>
          <w:rFonts w:eastAsia="MS Mincho" w:cstheme="minorHAnsi"/>
          <w:i/>
          <w:iCs/>
          <w:color w:val="595959"/>
          <w:sz w:val="24"/>
          <w:szCs w:val="24"/>
        </w:rPr>
        <w:t xml:space="preserve">: </w:t>
      </w:r>
      <w:r w:rsidRPr="007E6DA1">
        <w:rPr>
          <w:rFonts w:eastAsia="Calibri" w:cstheme="minorHAnsi"/>
          <w:i/>
          <w:iCs/>
          <w:color w:val="595959"/>
          <w:sz w:val="24"/>
          <w:szCs w:val="24"/>
        </w:rPr>
        <w:t>Properties associated with the landfill, numbered in coordination with the table in Appendix C, and color-coded by zoning.</w:t>
      </w:r>
    </w:p>
    <w:p w14:paraId="4DBBDB61" w14:textId="77777777" w:rsidR="006F646F" w:rsidRPr="0041791D" w:rsidRDefault="006F646F" w:rsidP="006F646F">
      <w:pPr>
        <w:autoSpaceDE w:val="0"/>
        <w:autoSpaceDN w:val="0"/>
        <w:adjustRightInd w:val="0"/>
        <w:spacing w:after="0" w:line="240" w:lineRule="auto"/>
        <w:rPr>
          <w:rFonts w:eastAsia="Calibri" w:cstheme="minorHAnsi"/>
          <w:sz w:val="24"/>
          <w:szCs w:val="24"/>
        </w:rPr>
      </w:pPr>
      <w:r w:rsidRPr="0041791D">
        <w:rPr>
          <w:rFonts w:eastAsia="Calibri" w:cstheme="minorHAnsi"/>
          <w:noProof/>
          <w:sz w:val="24"/>
          <w:szCs w:val="24"/>
        </w:rPr>
        <w:drawing>
          <wp:inline distT="0" distB="0" distL="0" distR="0" wp14:anchorId="4DEDFD91" wp14:editId="3E258C34">
            <wp:extent cx="5747521" cy="5291666"/>
            <wp:effectExtent l="0" t="0" r="5715" b="4445"/>
            <wp:docPr id="250361754" name="Picture 250361754" descr="P:\Capture_coffin butte_2_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apture_coffin butte_2_guid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4178" cy="5307002"/>
                    </a:xfrm>
                    <a:prstGeom prst="rect">
                      <a:avLst/>
                    </a:prstGeom>
                    <a:noFill/>
                    <a:ln>
                      <a:noFill/>
                    </a:ln>
                  </pic:spPr>
                </pic:pic>
              </a:graphicData>
            </a:graphic>
          </wp:inline>
        </w:drawing>
      </w:r>
    </w:p>
    <w:p w14:paraId="3ADBF8E5" w14:textId="77777777" w:rsidR="006F646F" w:rsidRPr="0041791D" w:rsidRDefault="006F646F" w:rsidP="006F646F">
      <w:pPr>
        <w:autoSpaceDE w:val="0"/>
        <w:autoSpaceDN w:val="0"/>
        <w:adjustRightInd w:val="0"/>
        <w:spacing w:after="0" w:line="240" w:lineRule="auto"/>
        <w:rPr>
          <w:rFonts w:eastAsia="Calibri" w:cstheme="minorHAnsi"/>
          <w:sz w:val="24"/>
          <w:szCs w:val="24"/>
        </w:rPr>
      </w:pPr>
    </w:p>
    <w:p w14:paraId="23E84F2C" w14:textId="77777777" w:rsidR="006F646F" w:rsidRPr="0041791D" w:rsidRDefault="006F646F" w:rsidP="006F646F">
      <w:pPr>
        <w:autoSpaceDE w:val="0"/>
        <w:autoSpaceDN w:val="0"/>
        <w:adjustRightInd w:val="0"/>
        <w:spacing w:after="0" w:line="240" w:lineRule="auto"/>
        <w:rPr>
          <w:rFonts w:eastAsia="Calibri" w:cstheme="minorHAnsi"/>
          <w:sz w:val="24"/>
          <w:szCs w:val="24"/>
        </w:rPr>
      </w:pPr>
    </w:p>
    <w:p w14:paraId="223206A1" w14:textId="77777777" w:rsidR="006F646F" w:rsidRPr="007E6DA1" w:rsidRDefault="006F646F" w:rsidP="006F646F">
      <w:pPr>
        <w:keepNext/>
        <w:spacing w:line="240" w:lineRule="auto"/>
        <w:rPr>
          <w:rFonts w:eastAsia="MS Mincho" w:cstheme="minorHAnsi"/>
          <w:i/>
          <w:iCs/>
          <w:color w:val="595959"/>
          <w:sz w:val="24"/>
          <w:szCs w:val="24"/>
        </w:rPr>
      </w:pPr>
      <w:r w:rsidRPr="007E6DA1">
        <w:rPr>
          <w:rFonts w:eastAsia="MS Mincho" w:cstheme="minorHAnsi"/>
          <w:i/>
          <w:iCs/>
          <w:color w:val="595959"/>
          <w:sz w:val="24"/>
          <w:szCs w:val="24"/>
        </w:rPr>
        <w:t xml:space="preserve">Figure </w:t>
      </w:r>
      <w:r w:rsidRPr="007E6DA1">
        <w:rPr>
          <w:rFonts w:eastAsia="MS Mincho" w:cstheme="minorHAnsi"/>
          <w:i/>
          <w:iCs/>
          <w:color w:val="595959"/>
          <w:sz w:val="24"/>
          <w:szCs w:val="24"/>
        </w:rPr>
        <w:fldChar w:fldCharType="begin"/>
      </w:r>
      <w:r w:rsidRPr="007E6DA1">
        <w:rPr>
          <w:rFonts w:eastAsia="MS Mincho" w:cstheme="minorHAnsi"/>
          <w:i/>
          <w:iCs/>
          <w:color w:val="595959"/>
          <w:sz w:val="24"/>
          <w:szCs w:val="24"/>
        </w:rPr>
        <w:instrText xml:space="preserve"> SEQ Figure \* ARABIC </w:instrText>
      </w:r>
      <w:r w:rsidRPr="007E6DA1">
        <w:rPr>
          <w:rFonts w:eastAsia="MS Mincho" w:cstheme="minorHAnsi"/>
          <w:i/>
          <w:iCs/>
          <w:color w:val="595959"/>
          <w:sz w:val="24"/>
          <w:szCs w:val="24"/>
        </w:rPr>
        <w:fldChar w:fldCharType="separate"/>
      </w:r>
      <w:r w:rsidRPr="007E6DA1">
        <w:rPr>
          <w:rFonts w:eastAsia="MS Mincho" w:cstheme="minorHAnsi"/>
          <w:i/>
          <w:iCs/>
          <w:noProof/>
          <w:color w:val="595959"/>
          <w:sz w:val="24"/>
          <w:szCs w:val="24"/>
        </w:rPr>
        <w:t>15</w:t>
      </w:r>
      <w:r w:rsidRPr="007E6DA1">
        <w:rPr>
          <w:rFonts w:eastAsia="MS Mincho" w:cstheme="minorHAnsi"/>
          <w:i/>
          <w:iCs/>
          <w:color w:val="595959"/>
          <w:sz w:val="24"/>
          <w:szCs w:val="24"/>
        </w:rPr>
        <w:fldChar w:fldCharType="end"/>
      </w:r>
      <w:r w:rsidRPr="007E6DA1">
        <w:rPr>
          <w:rFonts w:eastAsia="MS Mincho" w:cstheme="minorHAnsi"/>
          <w:i/>
          <w:iCs/>
          <w:color w:val="595959"/>
          <w:sz w:val="24"/>
          <w:szCs w:val="24"/>
        </w:rPr>
        <w:t xml:space="preserve">: </w:t>
      </w:r>
      <w:r w:rsidRPr="007E6DA1">
        <w:rPr>
          <w:rFonts w:eastAsia="Calibri" w:cstheme="minorHAnsi"/>
          <w:i/>
          <w:iCs/>
          <w:color w:val="595959"/>
          <w:sz w:val="24"/>
          <w:szCs w:val="24"/>
        </w:rPr>
        <w:t xml:space="preserve">Property map, with years each property was purchased by a landfill-affiliated </w:t>
      </w:r>
      <w:proofErr w:type="gramStart"/>
      <w:r w:rsidRPr="007E6DA1">
        <w:rPr>
          <w:rFonts w:eastAsia="Calibri" w:cstheme="minorHAnsi"/>
          <w:i/>
          <w:iCs/>
          <w:color w:val="595959"/>
          <w:sz w:val="24"/>
          <w:szCs w:val="24"/>
        </w:rPr>
        <w:t>organization</w:t>
      </w:r>
      <w:proofErr w:type="gramEnd"/>
    </w:p>
    <w:p w14:paraId="74351871" w14:textId="77777777" w:rsidR="006F646F" w:rsidRPr="0041791D" w:rsidRDefault="006F646F" w:rsidP="006F646F">
      <w:pPr>
        <w:autoSpaceDE w:val="0"/>
        <w:autoSpaceDN w:val="0"/>
        <w:adjustRightInd w:val="0"/>
        <w:spacing w:after="0" w:line="240" w:lineRule="auto"/>
        <w:rPr>
          <w:rFonts w:eastAsia="Calibri" w:cstheme="minorHAnsi"/>
          <w:sz w:val="24"/>
          <w:szCs w:val="24"/>
        </w:rPr>
      </w:pPr>
      <w:r w:rsidRPr="0041791D">
        <w:rPr>
          <w:rFonts w:eastAsia="Calibri" w:cstheme="minorHAnsi"/>
          <w:noProof/>
          <w:sz w:val="24"/>
          <w:szCs w:val="24"/>
        </w:rPr>
        <w:drawing>
          <wp:inline distT="0" distB="0" distL="0" distR="0" wp14:anchorId="41806947" wp14:editId="7653A015">
            <wp:extent cx="5943600" cy="4826000"/>
            <wp:effectExtent l="0" t="0" r="0" b="0"/>
            <wp:docPr id="250361762" name="Picture 2503617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8"/>
                    <a:stretch>
                      <a:fillRect/>
                    </a:stretch>
                  </pic:blipFill>
                  <pic:spPr>
                    <a:xfrm>
                      <a:off x="0" y="0"/>
                      <a:ext cx="5943600" cy="4826000"/>
                    </a:xfrm>
                    <a:prstGeom prst="rect">
                      <a:avLst/>
                    </a:prstGeom>
                  </pic:spPr>
                </pic:pic>
              </a:graphicData>
            </a:graphic>
          </wp:inline>
        </w:drawing>
      </w:r>
    </w:p>
    <w:p w14:paraId="33F78B9B" w14:textId="77777777" w:rsidR="006F646F" w:rsidRPr="0041791D" w:rsidRDefault="006F646F" w:rsidP="006F646F">
      <w:pPr>
        <w:autoSpaceDE w:val="0"/>
        <w:autoSpaceDN w:val="0"/>
        <w:adjustRightInd w:val="0"/>
        <w:spacing w:after="0" w:line="240" w:lineRule="auto"/>
        <w:rPr>
          <w:rFonts w:eastAsia="Calibri" w:cstheme="minorHAnsi"/>
          <w:sz w:val="24"/>
          <w:szCs w:val="24"/>
        </w:rPr>
      </w:pPr>
    </w:p>
    <w:p w14:paraId="3AB38A28" w14:textId="77777777" w:rsidR="006F646F" w:rsidRPr="0041791D" w:rsidRDefault="006F646F" w:rsidP="006F646F">
      <w:pPr>
        <w:autoSpaceDE w:val="0"/>
        <w:autoSpaceDN w:val="0"/>
        <w:adjustRightInd w:val="0"/>
        <w:spacing w:after="240" w:line="240" w:lineRule="auto"/>
        <w:rPr>
          <w:rFonts w:eastAsia="Calibri" w:cstheme="minorHAnsi"/>
          <w:sz w:val="24"/>
          <w:szCs w:val="24"/>
        </w:rPr>
      </w:pPr>
      <w:r w:rsidRPr="0041791D">
        <w:rPr>
          <w:rFonts w:eastAsia="Calibri" w:cstheme="minorHAnsi"/>
          <w:sz w:val="24"/>
          <w:szCs w:val="24"/>
        </w:rPr>
        <w:t>Note: Properties zoned LS (specifically #5, 7, 8 and 14) were likely purchased by landfill owners prior to 1983, but at the time of this report that property ownership information was not available, and only the more recent property records shown above were available.</w:t>
      </w:r>
    </w:p>
    <w:p w14:paraId="14C7FA00" w14:textId="77777777" w:rsidR="006F646F" w:rsidRPr="0041791D" w:rsidRDefault="006F646F" w:rsidP="006F646F">
      <w:pPr>
        <w:autoSpaceDE w:val="0"/>
        <w:autoSpaceDN w:val="0"/>
        <w:adjustRightInd w:val="0"/>
        <w:spacing w:after="0" w:line="240" w:lineRule="auto"/>
        <w:rPr>
          <w:rFonts w:eastAsia="Calibri" w:cstheme="minorHAnsi"/>
          <w:sz w:val="24"/>
          <w:szCs w:val="24"/>
        </w:rPr>
      </w:pPr>
    </w:p>
    <w:p w14:paraId="56CE80D4" w14:textId="77777777" w:rsidR="006F646F" w:rsidRPr="0041791D" w:rsidRDefault="006F646F" w:rsidP="006F646F">
      <w:pPr>
        <w:pStyle w:val="Heading3"/>
        <w:numPr>
          <w:ilvl w:val="0"/>
          <w:numId w:val="31"/>
        </w:numPr>
        <w:rPr>
          <w:rFonts w:asciiTheme="minorHAnsi" w:hAnsiTheme="minorHAnsi" w:cstheme="minorHAnsi"/>
        </w:rPr>
      </w:pPr>
      <w:bookmarkStart w:id="122" w:name="_Permitted_Disposal_Capacity"/>
      <w:bookmarkStart w:id="123" w:name="_Toc128666876"/>
      <w:bookmarkStart w:id="124" w:name="_Toc129256710"/>
      <w:bookmarkEnd w:id="122"/>
      <w:r w:rsidRPr="0041791D">
        <w:rPr>
          <w:rFonts w:asciiTheme="minorHAnsi" w:hAnsiTheme="minorHAnsi" w:cstheme="minorHAnsi"/>
        </w:rPr>
        <w:t>Permitted Disposal Capacity</w:t>
      </w:r>
      <w:bookmarkEnd w:id="123"/>
      <w:bookmarkEnd w:id="124"/>
    </w:p>
    <w:p w14:paraId="4B313303" w14:textId="77777777" w:rsidR="006F646F" w:rsidRPr="0041791D" w:rsidRDefault="006F646F" w:rsidP="006F646F">
      <w:pPr>
        <w:keepNext/>
        <w:keepLines/>
        <w:numPr>
          <w:ilvl w:val="0"/>
          <w:numId w:val="7"/>
        </w:numPr>
        <w:spacing w:after="240" w:line="240" w:lineRule="auto"/>
        <w:ind w:hanging="180"/>
        <w:outlineLvl w:val="2"/>
        <w:rPr>
          <w:rFonts w:eastAsia="Times New Roman" w:cstheme="minorHAnsi"/>
          <w:b/>
          <w:bCs/>
          <w:sz w:val="24"/>
          <w:szCs w:val="24"/>
        </w:rPr>
      </w:pPr>
      <w:bookmarkStart w:id="125" w:name="_Toc128666877"/>
      <w:bookmarkStart w:id="126" w:name="_Toc129256711"/>
      <w:commentRangeStart w:id="127"/>
      <w:commentRangeStart w:id="128"/>
      <w:r w:rsidRPr="0041791D">
        <w:rPr>
          <w:rFonts w:eastAsia="Times New Roman" w:cstheme="minorHAnsi"/>
          <w:b/>
          <w:bCs/>
          <w:sz w:val="24"/>
          <w:szCs w:val="24"/>
        </w:rPr>
        <w:t>Historical permitted capacity benchmarks</w:t>
      </w:r>
      <w:commentRangeEnd w:id="127"/>
      <w:r w:rsidRPr="0041791D">
        <w:rPr>
          <w:rFonts w:eastAsia="Times New Roman" w:cstheme="minorHAnsi"/>
          <w:b/>
          <w:bCs/>
          <w:sz w:val="24"/>
          <w:szCs w:val="24"/>
        </w:rPr>
        <w:commentReference w:id="127"/>
      </w:r>
      <w:commentRangeEnd w:id="128"/>
      <w:r w:rsidRPr="0041791D">
        <w:rPr>
          <w:rFonts w:eastAsia="Times New Roman" w:cstheme="minorHAnsi"/>
          <w:b/>
          <w:bCs/>
          <w:sz w:val="24"/>
          <w:szCs w:val="24"/>
        </w:rPr>
        <w:commentReference w:id="128"/>
      </w:r>
      <w:bookmarkEnd w:id="125"/>
      <w:bookmarkEnd w:id="126"/>
    </w:p>
    <w:p w14:paraId="397EC671"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The following table lists total expected/calculated permitted capacity for selected points in time.  Note that before approximately CY 2000 the Coffin Butte annual reports are inconsistent in presenting an estimate of this capacity; </w:t>
      </w:r>
      <w:proofErr w:type="gramStart"/>
      <w:r w:rsidRPr="0041791D">
        <w:rPr>
          <w:rFonts w:eastAsia="Calibri" w:cstheme="minorHAnsi"/>
          <w:sz w:val="24"/>
          <w:szCs w:val="24"/>
        </w:rPr>
        <w:t>thus</w:t>
      </w:r>
      <w:proofErr w:type="gramEnd"/>
      <w:r w:rsidRPr="0041791D">
        <w:rPr>
          <w:rFonts w:eastAsia="Calibri" w:cstheme="minorHAnsi"/>
          <w:sz w:val="24"/>
          <w:szCs w:val="24"/>
        </w:rPr>
        <w:t xml:space="preserve"> historical figures (e.g. 1983) are typically derived from a combination of archival data.  For all but the latest figure (CY 2021), the figures should be interpreted as rough estimates and not precise volume numbers.  The intent of providing the historical numbers is to document the growth of the expected/planned landfill size over time.</w:t>
      </w:r>
    </w:p>
    <w:p w14:paraId="4F8FBA69" w14:textId="77777777" w:rsidR="006F646F" w:rsidRPr="0041791D" w:rsidRDefault="006F646F" w:rsidP="006F646F">
      <w:pPr>
        <w:keepNext/>
        <w:spacing w:line="240" w:lineRule="auto"/>
        <w:jc w:val="center"/>
        <w:rPr>
          <w:rFonts w:eastAsia="MS Mincho" w:cstheme="minorHAnsi"/>
          <w:b/>
          <w:bCs/>
          <w:color w:val="595959"/>
          <w:sz w:val="24"/>
          <w:szCs w:val="24"/>
        </w:rPr>
      </w:pPr>
      <w:r w:rsidRPr="0041791D">
        <w:rPr>
          <w:rFonts w:eastAsia="MS Mincho" w:cstheme="minorHAnsi"/>
          <w:b/>
          <w:bCs/>
          <w:color w:val="595959"/>
          <w:sz w:val="24"/>
          <w:szCs w:val="24"/>
        </w:rPr>
        <w:t xml:space="preserve">Table </w:t>
      </w:r>
      <w:r w:rsidRPr="0041791D">
        <w:rPr>
          <w:rFonts w:eastAsia="MS Mincho" w:cstheme="minorHAnsi"/>
          <w:b/>
          <w:bCs/>
          <w:color w:val="595959"/>
          <w:sz w:val="24"/>
          <w:szCs w:val="24"/>
        </w:rPr>
        <w:fldChar w:fldCharType="begin"/>
      </w:r>
      <w:r w:rsidRPr="0041791D">
        <w:rPr>
          <w:rFonts w:eastAsia="MS Mincho" w:cstheme="minorHAnsi"/>
          <w:b/>
          <w:bCs/>
          <w:color w:val="595959"/>
          <w:sz w:val="24"/>
          <w:szCs w:val="24"/>
        </w:rPr>
        <w:instrText xml:space="preserve"> SEQ Table \* ARABIC </w:instrText>
      </w:r>
      <w:r w:rsidRPr="0041791D">
        <w:rPr>
          <w:rFonts w:eastAsia="MS Mincho" w:cstheme="minorHAnsi"/>
          <w:b/>
          <w:bCs/>
          <w:color w:val="595959"/>
          <w:sz w:val="24"/>
          <w:szCs w:val="24"/>
        </w:rPr>
        <w:fldChar w:fldCharType="separate"/>
      </w:r>
      <w:r w:rsidRPr="0041791D">
        <w:rPr>
          <w:rFonts w:eastAsia="MS Mincho" w:cstheme="minorHAnsi"/>
          <w:b/>
          <w:bCs/>
          <w:noProof/>
          <w:color w:val="595959"/>
          <w:sz w:val="24"/>
          <w:szCs w:val="24"/>
        </w:rPr>
        <w:t>1</w:t>
      </w:r>
      <w:r w:rsidRPr="0041791D">
        <w:rPr>
          <w:rFonts w:eastAsia="MS Mincho" w:cstheme="minorHAnsi"/>
          <w:b/>
          <w:bCs/>
          <w:color w:val="595959"/>
          <w:sz w:val="24"/>
          <w:szCs w:val="24"/>
        </w:rPr>
        <w:fldChar w:fldCharType="end"/>
      </w:r>
      <w:r w:rsidRPr="0041791D">
        <w:rPr>
          <w:rFonts w:eastAsia="MS Mincho" w:cstheme="minorHAnsi"/>
          <w:b/>
          <w:bCs/>
          <w:color w:val="595959"/>
          <w:sz w:val="24"/>
          <w:szCs w:val="24"/>
        </w:rPr>
        <w:t xml:space="preserve">: </w:t>
      </w:r>
      <w:r w:rsidRPr="0041791D">
        <w:rPr>
          <w:rFonts w:eastAsia="Calibri" w:cstheme="minorHAnsi"/>
          <w:b/>
          <w:bCs/>
          <w:noProof/>
          <w:color w:val="595959"/>
          <w:sz w:val="24"/>
          <w:szCs w:val="24"/>
        </w:rPr>
        <w:t>Historical Capacity Values</w:t>
      </w:r>
    </w:p>
    <w:tbl>
      <w:tblPr>
        <w:tblStyle w:val="TableGrid3"/>
        <w:tblW w:w="0" w:type="auto"/>
        <w:tblInd w:w="360" w:type="dxa"/>
        <w:tblLook w:val="04A0" w:firstRow="1" w:lastRow="0" w:firstColumn="1" w:lastColumn="0" w:noHBand="0" w:noVBand="1"/>
      </w:tblPr>
      <w:tblGrid>
        <w:gridCol w:w="1493"/>
        <w:gridCol w:w="2111"/>
        <w:gridCol w:w="5090"/>
      </w:tblGrid>
      <w:tr w:rsidR="006F646F" w:rsidRPr="0041791D" w14:paraId="4D45E52E" w14:textId="77777777" w:rsidTr="00CD02A5">
        <w:trPr>
          <w:trHeight w:val="566"/>
        </w:trPr>
        <w:tc>
          <w:tcPr>
            <w:tcW w:w="1493" w:type="dxa"/>
            <w:vAlign w:val="center"/>
          </w:tcPr>
          <w:p w14:paraId="57EF346C" w14:textId="77777777" w:rsidR="006F646F" w:rsidRPr="0041791D" w:rsidRDefault="006F646F" w:rsidP="00CD02A5">
            <w:pPr>
              <w:jc w:val="center"/>
              <w:rPr>
                <w:rFonts w:asciiTheme="minorHAnsi" w:eastAsia="Calibri" w:hAnsiTheme="minorHAnsi" w:cstheme="minorHAnsi"/>
                <w:b/>
                <w:sz w:val="24"/>
                <w:szCs w:val="24"/>
              </w:rPr>
            </w:pPr>
            <w:r w:rsidRPr="0041791D">
              <w:rPr>
                <w:rFonts w:asciiTheme="minorHAnsi" w:eastAsia="Calibri" w:hAnsiTheme="minorHAnsi" w:cstheme="minorHAnsi"/>
                <w:b/>
                <w:sz w:val="24"/>
                <w:szCs w:val="24"/>
              </w:rPr>
              <w:t>Date</w:t>
            </w:r>
          </w:p>
        </w:tc>
        <w:tc>
          <w:tcPr>
            <w:tcW w:w="2111" w:type="dxa"/>
            <w:vAlign w:val="center"/>
          </w:tcPr>
          <w:p w14:paraId="0EBAEAC1" w14:textId="77777777" w:rsidR="006F646F" w:rsidRPr="0041791D" w:rsidRDefault="006F646F" w:rsidP="00CD02A5">
            <w:pPr>
              <w:jc w:val="center"/>
              <w:rPr>
                <w:rFonts w:asciiTheme="minorHAnsi" w:eastAsia="Calibri" w:hAnsiTheme="minorHAnsi" w:cstheme="minorHAnsi"/>
                <w:b/>
                <w:sz w:val="24"/>
                <w:szCs w:val="24"/>
              </w:rPr>
            </w:pPr>
            <w:r w:rsidRPr="0041791D">
              <w:rPr>
                <w:rFonts w:asciiTheme="minorHAnsi" w:eastAsia="Calibri" w:hAnsiTheme="minorHAnsi" w:cstheme="minorHAnsi"/>
                <w:b/>
                <w:sz w:val="24"/>
                <w:szCs w:val="24"/>
              </w:rPr>
              <w:t xml:space="preserve">Total </w:t>
            </w:r>
            <w:commentRangeStart w:id="129"/>
            <w:r w:rsidRPr="0041791D">
              <w:rPr>
                <w:rFonts w:asciiTheme="minorHAnsi" w:eastAsia="Calibri" w:hAnsiTheme="minorHAnsi" w:cstheme="minorHAnsi"/>
                <w:b/>
                <w:sz w:val="24"/>
                <w:szCs w:val="24"/>
              </w:rPr>
              <w:t>Capacity</w:t>
            </w:r>
            <w:commentRangeEnd w:id="129"/>
            <w:r w:rsidRPr="0041791D">
              <w:rPr>
                <w:rFonts w:asciiTheme="minorHAnsi" w:eastAsia="Calibri" w:hAnsiTheme="minorHAnsi" w:cstheme="minorHAnsi"/>
                <w:sz w:val="24"/>
                <w:szCs w:val="24"/>
              </w:rPr>
              <w:commentReference w:id="129"/>
            </w:r>
            <w:r w:rsidRPr="0041791D">
              <w:rPr>
                <w:rFonts w:asciiTheme="minorHAnsi" w:eastAsia="Calibri" w:hAnsiTheme="minorHAnsi" w:cstheme="minorHAnsi"/>
                <w:b/>
                <w:sz w:val="24"/>
                <w:szCs w:val="24"/>
              </w:rPr>
              <w:t xml:space="preserve"> (yd</w:t>
            </w:r>
            <w:r w:rsidRPr="0041791D">
              <w:rPr>
                <w:rFonts w:asciiTheme="minorHAnsi" w:eastAsia="Calibri" w:hAnsiTheme="minorHAnsi" w:cstheme="minorHAnsi"/>
                <w:b/>
                <w:sz w:val="24"/>
                <w:szCs w:val="24"/>
                <w:vertAlign w:val="superscript"/>
              </w:rPr>
              <w:t>3</w:t>
            </w:r>
            <w:r w:rsidRPr="0041791D">
              <w:rPr>
                <w:rFonts w:asciiTheme="minorHAnsi" w:eastAsia="Calibri" w:hAnsiTheme="minorHAnsi" w:cstheme="minorHAnsi"/>
                <w:b/>
                <w:sz w:val="24"/>
                <w:szCs w:val="24"/>
              </w:rPr>
              <w:t>)</w:t>
            </w:r>
          </w:p>
        </w:tc>
        <w:tc>
          <w:tcPr>
            <w:tcW w:w="5090" w:type="dxa"/>
            <w:vAlign w:val="center"/>
          </w:tcPr>
          <w:p w14:paraId="33CCA796" w14:textId="77777777" w:rsidR="006F646F" w:rsidRPr="0041791D" w:rsidRDefault="006F646F" w:rsidP="00CD02A5">
            <w:pPr>
              <w:rPr>
                <w:rFonts w:asciiTheme="minorHAnsi" w:eastAsia="Calibri" w:hAnsiTheme="minorHAnsi" w:cstheme="minorHAnsi"/>
                <w:b/>
                <w:sz w:val="24"/>
                <w:szCs w:val="24"/>
              </w:rPr>
            </w:pPr>
            <w:r w:rsidRPr="0041791D">
              <w:rPr>
                <w:rFonts w:asciiTheme="minorHAnsi" w:eastAsia="Calibri" w:hAnsiTheme="minorHAnsi" w:cstheme="minorHAnsi"/>
                <w:b/>
                <w:sz w:val="24"/>
                <w:szCs w:val="24"/>
              </w:rPr>
              <w:t>Notes</w:t>
            </w:r>
          </w:p>
        </w:tc>
      </w:tr>
      <w:tr w:rsidR="006F646F" w:rsidRPr="0041791D" w14:paraId="640F5A50" w14:textId="77777777" w:rsidTr="00CD02A5">
        <w:trPr>
          <w:trHeight w:val="720"/>
        </w:trPr>
        <w:tc>
          <w:tcPr>
            <w:tcW w:w="1493" w:type="dxa"/>
            <w:vAlign w:val="center"/>
          </w:tcPr>
          <w:p w14:paraId="0D75FEB0" w14:textId="77777777" w:rsidR="006F646F" w:rsidRPr="0041791D" w:rsidRDefault="006F646F" w:rsidP="00CD02A5">
            <w:pPr>
              <w:jc w:val="center"/>
              <w:rPr>
                <w:rFonts w:asciiTheme="minorHAnsi" w:eastAsia="Calibri" w:hAnsiTheme="minorHAnsi" w:cstheme="minorHAnsi"/>
                <w:strike/>
                <w:sz w:val="24"/>
                <w:szCs w:val="24"/>
              </w:rPr>
            </w:pPr>
            <w:r w:rsidRPr="0041791D">
              <w:rPr>
                <w:rFonts w:asciiTheme="minorHAnsi" w:eastAsia="Calibri" w:hAnsiTheme="minorHAnsi" w:cstheme="minorHAnsi"/>
                <w:sz w:val="24"/>
                <w:szCs w:val="24"/>
              </w:rPr>
              <w:t>1983</w:t>
            </w:r>
          </w:p>
        </w:tc>
        <w:tc>
          <w:tcPr>
            <w:tcW w:w="2111" w:type="dxa"/>
            <w:vAlign w:val="center"/>
          </w:tcPr>
          <w:p w14:paraId="02B86BC6" w14:textId="77777777" w:rsidR="006F646F" w:rsidRPr="0041791D" w:rsidRDefault="006F646F" w:rsidP="00CD02A5">
            <w:pPr>
              <w:jc w:val="center"/>
              <w:rPr>
                <w:rFonts w:asciiTheme="minorHAnsi" w:eastAsia="Calibri" w:hAnsiTheme="minorHAnsi" w:cstheme="minorHAnsi"/>
                <w:strike/>
                <w:sz w:val="24"/>
                <w:szCs w:val="24"/>
              </w:rPr>
            </w:pPr>
            <w:r w:rsidRPr="0041791D">
              <w:rPr>
                <w:rFonts w:asciiTheme="minorHAnsi" w:eastAsia="Calibri" w:hAnsiTheme="minorHAnsi" w:cstheme="minorHAnsi"/>
                <w:sz w:val="24"/>
                <w:szCs w:val="24"/>
              </w:rPr>
              <w:t>13,134,000</w:t>
            </w:r>
          </w:p>
        </w:tc>
        <w:tc>
          <w:tcPr>
            <w:tcW w:w="5090" w:type="dxa"/>
            <w:vAlign w:val="center"/>
          </w:tcPr>
          <w:p w14:paraId="780B497E" w14:textId="77777777" w:rsidR="006F646F" w:rsidRPr="0041791D" w:rsidRDefault="006F646F" w:rsidP="00CD02A5">
            <w:pPr>
              <w:rPr>
                <w:rFonts w:asciiTheme="minorHAnsi" w:eastAsia="Calibri" w:hAnsiTheme="minorHAnsi" w:cstheme="minorHAnsi"/>
                <w:strike/>
                <w:sz w:val="24"/>
                <w:szCs w:val="24"/>
              </w:rPr>
            </w:pPr>
            <w:r w:rsidRPr="0041791D">
              <w:rPr>
                <w:rFonts w:asciiTheme="minorHAnsi" w:eastAsia="Calibri" w:hAnsiTheme="minorHAnsi" w:cstheme="minorHAnsi"/>
                <w:sz w:val="24"/>
                <w:szCs w:val="24"/>
              </w:rPr>
              <w:t xml:space="preserve">Capacities defined in the 2003 Site Development Plan for the cells ultimately located on the fill areas shown in </w:t>
            </w:r>
            <w:r w:rsidRPr="0041791D">
              <w:rPr>
                <w:rFonts w:eastAsia="Calibri" w:cstheme="minorHAnsi"/>
                <w:i/>
                <w:sz w:val="24"/>
                <w:szCs w:val="24"/>
              </w:rPr>
              <w:fldChar w:fldCharType="begin"/>
            </w:r>
            <w:r w:rsidRPr="0041791D">
              <w:rPr>
                <w:rFonts w:asciiTheme="minorHAnsi" w:eastAsia="Calibri" w:hAnsiTheme="minorHAnsi" w:cstheme="minorHAnsi"/>
                <w:i/>
                <w:sz w:val="24"/>
                <w:szCs w:val="24"/>
              </w:rPr>
              <w:instrText xml:space="preserve"> REF _Ref124329791 \h  \* MERGEFORMAT </w:instrText>
            </w:r>
            <w:r w:rsidRPr="0041791D">
              <w:rPr>
                <w:rFonts w:eastAsia="Calibri" w:cstheme="minorHAnsi"/>
                <w:i/>
                <w:sz w:val="24"/>
                <w:szCs w:val="24"/>
              </w:rPr>
            </w:r>
            <w:r w:rsidRPr="0041791D">
              <w:rPr>
                <w:rFonts w:eastAsia="Calibri" w:cstheme="minorHAnsi"/>
                <w:i/>
                <w:sz w:val="24"/>
                <w:szCs w:val="24"/>
              </w:rPr>
              <w:fldChar w:fldCharType="separate"/>
            </w:r>
            <w:r w:rsidRPr="0041791D">
              <w:rPr>
                <w:rFonts w:asciiTheme="minorHAnsi" w:eastAsia="Calibri" w:hAnsiTheme="minorHAnsi" w:cstheme="minorHAnsi"/>
                <w:i/>
                <w:sz w:val="24"/>
                <w:szCs w:val="24"/>
              </w:rPr>
              <w:t xml:space="preserve">Figure </w:t>
            </w:r>
            <w:r w:rsidRPr="0041791D">
              <w:rPr>
                <w:rFonts w:asciiTheme="minorHAnsi" w:eastAsia="Calibri" w:hAnsiTheme="minorHAnsi" w:cstheme="minorHAnsi"/>
                <w:i/>
                <w:noProof/>
                <w:sz w:val="24"/>
                <w:szCs w:val="24"/>
              </w:rPr>
              <w:t>8</w:t>
            </w:r>
            <w:r w:rsidRPr="0041791D">
              <w:rPr>
                <w:rFonts w:asciiTheme="minorHAnsi" w:eastAsia="Calibri" w:hAnsiTheme="minorHAnsi" w:cstheme="minorHAnsi"/>
                <w:i/>
                <w:sz w:val="24"/>
                <w:szCs w:val="24"/>
              </w:rPr>
              <w:t>: Proposed 1983 Rezoning Map</w:t>
            </w:r>
            <w:r w:rsidRPr="0041791D">
              <w:rPr>
                <w:rFonts w:eastAsia="Calibri" w:cstheme="minorHAnsi"/>
                <w:i/>
                <w:sz w:val="24"/>
                <w:szCs w:val="24"/>
              </w:rPr>
              <w:fldChar w:fldCharType="end"/>
            </w:r>
            <w:r w:rsidRPr="0041791D">
              <w:rPr>
                <w:rFonts w:asciiTheme="minorHAnsi" w:eastAsia="Calibri" w:hAnsiTheme="minorHAnsi" w:cstheme="minorHAnsi"/>
                <w:sz w:val="24"/>
                <w:szCs w:val="24"/>
              </w:rPr>
              <w:t xml:space="preserve"> areas (</w:t>
            </w:r>
            <w:commentRangeStart w:id="130"/>
            <w:r w:rsidRPr="0041791D">
              <w:rPr>
                <w:rFonts w:asciiTheme="minorHAnsi" w:eastAsia="Calibri" w:hAnsiTheme="minorHAnsi" w:cstheme="minorHAnsi"/>
                <w:sz w:val="24"/>
                <w:szCs w:val="24"/>
              </w:rPr>
              <w:t>Cells 2-5</w:t>
            </w:r>
            <w:commentRangeEnd w:id="130"/>
            <w:r w:rsidRPr="0041791D">
              <w:rPr>
                <w:rFonts w:asciiTheme="minorHAnsi" w:eastAsia="Calibri" w:hAnsiTheme="minorHAnsi" w:cstheme="minorHAnsi"/>
                <w:sz w:val="24"/>
                <w:szCs w:val="24"/>
              </w:rPr>
              <w:commentReference w:id="130"/>
            </w:r>
            <w:r w:rsidRPr="0041791D">
              <w:rPr>
                <w:rFonts w:asciiTheme="minorHAnsi" w:eastAsia="Calibri" w:hAnsiTheme="minorHAnsi" w:cstheme="minorHAnsi"/>
                <w:sz w:val="24"/>
                <w:szCs w:val="24"/>
              </w:rPr>
              <w:t>)</w:t>
            </w:r>
          </w:p>
        </w:tc>
      </w:tr>
      <w:tr w:rsidR="0007732C" w:rsidRPr="0041791D" w14:paraId="0FBD4262" w14:textId="77777777" w:rsidTr="00CD02A5">
        <w:trPr>
          <w:trHeight w:val="720"/>
        </w:trPr>
        <w:tc>
          <w:tcPr>
            <w:tcW w:w="1493" w:type="dxa"/>
            <w:vAlign w:val="center"/>
          </w:tcPr>
          <w:p w14:paraId="257BE88B" w14:textId="0AB2BAEA" w:rsidR="0007732C" w:rsidRPr="0041791D" w:rsidRDefault="0007732C" w:rsidP="0007732C">
            <w:pPr>
              <w:jc w:val="center"/>
              <w:rPr>
                <w:rFonts w:eastAsia="Calibri" w:cstheme="minorHAnsi"/>
                <w:sz w:val="24"/>
                <w:szCs w:val="24"/>
              </w:rPr>
            </w:pPr>
            <w:commentRangeStart w:id="131"/>
            <w:r w:rsidRPr="0041791D">
              <w:rPr>
                <w:rFonts w:asciiTheme="minorHAnsi" w:eastAsia="Calibri" w:hAnsiTheme="minorHAnsi" w:cstheme="minorHAnsi"/>
                <w:sz w:val="24"/>
                <w:szCs w:val="24"/>
              </w:rPr>
              <w:t>?</w:t>
            </w:r>
            <w:commentRangeEnd w:id="131"/>
            <w:r w:rsidRPr="0041791D">
              <w:rPr>
                <w:rFonts w:asciiTheme="minorHAnsi" w:eastAsia="Calibri" w:hAnsiTheme="minorHAnsi" w:cstheme="minorHAnsi"/>
                <w:sz w:val="24"/>
                <w:szCs w:val="24"/>
              </w:rPr>
              <w:commentReference w:id="131"/>
            </w:r>
          </w:p>
        </w:tc>
        <w:tc>
          <w:tcPr>
            <w:tcW w:w="2111" w:type="dxa"/>
            <w:vAlign w:val="center"/>
          </w:tcPr>
          <w:p w14:paraId="1D94F0DE" w14:textId="3082B861" w:rsidR="0007732C" w:rsidRPr="0041791D" w:rsidRDefault="0007732C" w:rsidP="0007732C">
            <w:pPr>
              <w:jc w:val="center"/>
              <w:rPr>
                <w:rFonts w:eastAsia="Calibri" w:cstheme="minorHAnsi"/>
                <w:sz w:val="24"/>
                <w:szCs w:val="24"/>
              </w:rPr>
            </w:pPr>
            <w:r w:rsidRPr="0041791D">
              <w:rPr>
                <w:rFonts w:asciiTheme="minorHAnsi" w:eastAsia="Calibri" w:hAnsiTheme="minorHAnsi" w:cstheme="minorHAnsi"/>
                <w:sz w:val="24"/>
                <w:szCs w:val="24"/>
              </w:rPr>
              <w:t>35,531,000</w:t>
            </w:r>
          </w:p>
        </w:tc>
        <w:tc>
          <w:tcPr>
            <w:tcW w:w="5090" w:type="dxa"/>
            <w:vAlign w:val="center"/>
          </w:tcPr>
          <w:p w14:paraId="75E93C5A" w14:textId="4DE009B6" w:rsidR="0007732C" w:rsidRPr="00643660" w:rsidRDefault="0007732C" w:rsidP="0007732C">
            <w:pPr>
              <w:rPr>
                <w:rFonts w:eastAsia="Calibri" w:cstheme="minorHAnsi"/>
                <w:sz w:val="24"/>
                <w:szCs w:val="24"/>
              </w:rPr>
            </w:pPr>
            <w:r w:rsidRPr="0041791D">
              <w:rPr>
                <w:rFonts w:asciiTheme="minorHAnsi" w:eastAsia="Calibri" w:hAnsiTheme="minorHAnsi" w:cstheme="minorHAnsi"/>
                <w:sz w:val="24"/>
                <w:szCs w:val="24"/>
              </w:rPr>
              <w:t xml:space="preserve">With Cell </w:t>
            </w:r>
            <w:proofErr w:type="gramStart"/>
            <w:r w:rsidRPr="0041791D">
              <w:rPr>
                <w:rFonts w:asciiTheme="minorHAnsi" w:eastAsia="Calibri" w:hAnsiTheme="minorHAnsi" w:cstheme="minorHAnsi"/>
                <w:sz w:val="24"/>
                <w:szCs w:val="24"/>
              </w:rPr>
              <w:t xml:space="preserve">6, </w:t>
            </w:r>
            <w:commentRangeStart w:id="132"/>
            <w:commentRangeStart w:id="133"/>
            <w:commentRangeStart w:id="134"/>
            <w:r w:rsidRPr="0041791D">
              <w:rPr>
                <w:rFonts w:asciiTheme="minorHAnsi" w:eastAsia="Calibri" w:hAnsiTheme="minorHAnsi" w:cstheme="minorHAnsi"/>
                <w:sz w:val="24"/>
                <w:szCs w:val="24"/>
              </w:rPr>
              <w:t xml:space="preserve"> estimated</w:t>
            </w:r>
            <w:proofErr w:type="gramEnd"/>
            <w:r w:rsidRPr="0041791D">
              <w:rPr>
                <w:rFonts w:asciiTheme="minorHAnsi" w:eastAsia="Calibri" w:hAnsiTheme="minorHAnsi" w:cstheme="minorHAnsi"/>
                <w:sz w:val="24"/>
                <w:szCs w:val="24"/>
              </w:rPr>
              <w:t xml:space="preserve"> at 13,397,000 yd</w:t>
            </w:r>
            <w:r w:rsidRPr="0041791D">
              <w:rPr>
                <w:rFonts w:asciiTheme="minorHAnsi" w:eastAsia="Calibri" w:hAnsiTheme="minorHAnsi" w:cstheme="minorHAnsi"/>
                <w:sz w:val="24"/>
                <w:szCs w:val="24"/>
                <w:vertAlign w:val="superscript"/>
              </w:rPr>
              <w:t>3</w:t>
            </w:r>
            <w:commentRangeEnd w:id="132"/>
            <w:r w:rsidRPr="0041791D">
              <w:rPr>
                <w:rFonts w:asciiTheme="minorHAnsi" w:eastAsia="Calibri" w:hAnsiTheme="minorHAnsi" w:cstheme="minorHAnsi"/>
                <w:sz w:val="24"/>
                <w:szCs w:val="24"/>
              </w:rPr>
              <w:commentReference w:id="132"/>
            </w:r>
            <w:commentRangeEnd w:id="133"/>
            <w:r w:rsidRPr="0041791D">
              <w:rPr>
                <w:rFonts w:asciiTheme="minorHAnsi" w:eastAsia="Calibri" w:hAnsiTheme="minorHAnsi" w:cstheme="minorHAnsi"/>
                <w:sz w:val="24"/>
                <w:szCs w:val="24"/>
              </w:rPr>
              <w:commentReference w:id="133"/>
            </w:r>
            <w:commentRangeEnd w:id="134"/>
            <w:r w:rsidRPr="0041791D">
              <w:rPr>
                <w:rFonts w:asciiTheme="minorHAnsi" w:eastAsia="Calibri" w:hAnsiTheme="minorHAnsi" w:cstheme="minorHAnsi"/>
                <w:sz w:val="24"/>
                <w:szCs w:val="24"/>
              </w:rPr>
              <w:commentReference w:id="134"/>
            </w:r>
            <w:r>
              <w:rPr>
                <w:rFonts w:asciiTheme="minorHAnsi" w:eastAsia="Calibri" w:hAnsiTheme="minorHAnsi" w:cstheme="minorHAnsi"/>
                <w:sz w:val="24"/>
                <w:szCs w:val="24"/>
              </w:rPr>
              <w:t xml:space="preserve">. </w:t>
            </w:r>
            <w:bookmarkStart w:id="135" w:name="_Hlk129604279"/>
            <w:r>
              <w:rPr>
                <w:rFonts w:asciiTheme="minorHAnsi" w:eastAsia="Calibri" w:hAnsiTheme="minorHAnsi" w:cstheme="minorHAnsi"/>
                <w:sz w:val="24"/>
                <w:szCs w:val="24"/>
              </w:rPr>
              <w:t>Benton County staff are currently researching the Cell 6 approval date</w:t>
            </w:r>
            <w:r w:rsidR="00734E50">
              <w:rPr>
                <w:rFonts w:asciiTheme="minorHAnsi" w:eastAsia="Calibri" w:hAnsiTheme="minorHAnsi" w:cstheme="minorHAnsi"/>
                <w:sz w:val="24"/>
                <w:szCs w:val="24"/>
              </w:rPr>
              <w:t>/status</w:t>
            </w:r>
            <w:r>
              <w:rPr>
                <w:rFonts w:asciiTheme="minorHAnsi" w:eastAsia="Calibri" w:hAnsiTheme="minorHAnsi" w:cstheme="minorHAnsi"/>
                <w:sz w:val="24"/>
                <w:szCs w:val="24"/>
              </w:rPr>
              <w:t>.</w:t>
            </w:r>
            <w:bookmarkEnd w:id="135"/>
          </w:p>
        </w:tc>
      </w:tr>
      <w:tr w:rsidR="0007732C" w:rsidRPr="0041791D" w14:paraId="5E05B125" w14:textId="77777777" w:rsidTr="00CD02A5">
        <w:trPr>
          <w:trHeight w:val="720"/>
        </w:trPr>
        <w:tc>
          <w:tcPr>
            <w:tcW w:w="1493" w:type="dxa"/>
            <w:vAlign w:val="center"/>
          </w:tcPr>
          <w:p w14:paraId="5C3A32B7" w14:textId="3C138825" w:rsidR="0007732C" w:rsidRDefault="0007732C" w:rsidP="0007732C">
            <w:pPr>
              <w:jc w:val="center"/>
              <w:rPr>
                <w:rFonts w:eastAsia="Calibri" w:cstheme="minorHAnsi"/>
                <w:sz w:val="24"/>
                <w:szCs w:val="24"/>
              </w:rPr>
            </w:pPr>
            <w:r w:rsidRPr="0041791D">
              <w:rPr>
                <w:rFonts w:asciiTheme="minorHAnsi" w:eastAsia="Calibri" w:hAnsiTheme="minorHAnsi" w:cstheme="minorHAnsi"/>
                <w:sz w:val="24"/>
                <w:szCs w:val="24"/>
              </w:rPr>
              <w:t>1995</w:t>
            </w:r>
          </w:p>
        </w:tc>
        <w:tc>
          <w:tcPr>
            <w:tcW w:w="2111" w:type="dxa"/>
            <w:vAlign w:val="center"/>
          </w:tcPr>
          <w:p w14:paraId="3FB87065" w14:textId="545AB800" w:rsidR="0007732C" w:rsidRPr="0041791D" w:rsidRDefault="0007732C" w:rsidP="0007732C">
            <w:pPr>
              <w:jc w:val="center"/>
              <w:rPr>
                <w:rFonts w:eastAsia="Calibri" w:cstheme="minorHAnsi"/>
                <w:sz w:val="24"/>
                <w:szCs w:val="24"/>
              </w:rPr>
            </w:pPr>
            <w:r w:rsidRPr="0041791D">
              <w:rPr>
                <w:rFonts w:asciiTheme="minorHAnsi" w:eastAsia="Calibri" w:hAnsiTheme="minorHAnsi" w:cstheme="minorHAnsi"/>
                <w:sz w:val="24"/>
                <w:szCs w:val="24"/>
              </w:rPr>
              <w:t>18,000,000</w:t>
            </w:r>
          </w:p>
        </w:tc>
        <w:tc>
          <w:tcPr>
            <w:tcW w:w="5090" w:type="dxa"/>
            <w:vAlign w:val="center"/>
          </w:tcPr>
          <w:p w14:paraId="21BCAB55" w14:textId="3751B98F" w:rsidR="0007732C" w:rsidRPr="0041791D" w:rsidRDefault="0007732C" w:rsidP="0007732C">
            <w:pPr>
              <w:rPr>
                <w:rFonts w:eastAsia="Calibri" w:cstheme="minorHAnsi"/>
                <w:sz w:val="24"/>
                <w:szCs w:val="24"/>
              </w:rPr>
            </w:pPr>
            <w:r w:rsidRPr="00643660">
              <w:rPr>
                <w:rFonts w:asciiTheme="minorHAnsi" w:eastAsia="Calibri" w:hAnsiTheme="minorHAnsi" w:cstheme="minorHAnsi"/>
                <w:sz w:val="24"/>
                <w:szCs w:val="24"/>
              </w:rPr>
              <w:t>1995 Annual Report, estimated total capacity of Cells 1-</w:t>
            </w:r>
            <w:commentRangeStart w:id="136"/>
            <w:commentRangeStart w:id="137"/>
            <w:r w:rsidRPr="0041791D">
              <w:rPr>
                <w:rFonts w:asciiTheme="minorHAnsi" w:eastAsia="Calibri" w:hAnsiTheme="minorHAnsi" w:cstheme="minorHAnsi"/>
                <w:sz w:val="24"/>
                <w:szCs w:val="24"/>
              </w:rPr>
              <w:t>5</w:t>
            </w:r>
            <w:commentRangeEnd w:id="136"/>
            <w:r w:rsidRPr="0041791D">
              <w:rPr>
                <w:rFonts w:asciiTheme="minorHAnsi" w:eastAsia="Calibri" w:hAnsiTheme="minorHAnsi" w:cstheme="minorHAnsi"/>
                <w:sz w:val="24"/>
                <w:szCs w:val="24"/>
              </w:rPr>
              <w:commentReference w:id="136"/>
            </w:r>
            <w:commentRangeEnd w:id="137"/>
            <w:r w:rsidRPr="0041791D">
              <w:rPr>
                <w:rFonts w:asciiTheme="minorHAnsi" w:eastAsia="Calibri" w:hAnsiTheme="minorHAnsi" w:cstheme="minorHAnsi"/>
                <w:sz w:val="24"/>
                <w:szCs w:val="24"/>
              </w:rPr>
              <w:commentReference w:id="137"/>
            </w:r>
            <w:r w:rsidRPr="0041791D">
              <w:rPr>
                <w:rFonts w:asciiTheme="minorHAnsi" w:eastAsia="Calibri" w:hAnsiTheme="minorHAnsi" w:cstheme="minorHAnsi"/>
                <w:sz w:val="24"/>
                <w:szCs w:val="24"/>
              </w:rPr>
              <w:t xml:space="preserve"> </w:t>
            </w:r>
          </w:p>
        </w:tc>
      </w:tr>
      <w:tr w:rsidR="0007732C" w:rsidRPr="0041791D" w14:paraId="673847E4" w14:textId="77777777" w:rsidTr="00CD02A5">
        <w:trPr>
          <w:trHeight w:val="720"/>
        </w:trPr>
        <w:tc>
          <w:tcPr>
            <w:tcW w:w="1493" w:type="dxa"/>
            <w:vAlign w:val="center"/>
          </w:tcPr>
          <w:p w14:paraId="3C08A36D" w14:textId="6675CD1E" w:rsidR="0007732C" w:rsidRPr="0041791D" w:rsidRDefault="0007732C" w:rsidP="0007732C">
            <w:pPr>
              <w:jc w:val="center"/>
              <w:rPr>
                <w:rFonts w:asciiTheme="minorHAnsi" w:eastAsia="Calibri" w:hAnsiTheme="minorHAnsi" w:cstheme="minorHAnsi"/>
                <w:strike/>
                <w:sz w:val="24"/>
                <w:szCs w:val="24"/>
              </w:rPr>
            </w:pPr>
            <w:r>
              <w:rPr>
                <w:rFonts w:asciiTheme="minorHAnsi" w:eastAsia="Calibri" w:hAnsiTheme="minorHAnsi" w:cstheme="minorHAnsi"/>
                <w:sz w:val="24"/>
                <w:szCs w:val="24"/>
              </w:rPr>
              <w:t>1999/</w:t>
            </w:r>
            <w:r w:rsidRPr="0041791D">
              <w:rPr>
                <w:rFonts w:asciiTheme="minorHAnsi" w:eastAsia="Calibri" w:hAnsiTheme="minorHAnsi" w:cstheme="minorHAnsi"/>
                <w:sz w:val="24"/>
                <w:szCs w:val="24"/>
              </w:rPr>
              <w:t>2003</w:t>
            </w:r>
          </w:p>
        </w:tc>
        <w:tc>
          <w:tcPr>
            <w:tcW w:w="2111" w:type="dxa"/>
            <w:vAlign w:val="center"/>
          </w:tcPr>
          <w:p w14:paraId="327269CF" w14:textId="77777777" w:rsidR="0007732C" w:rsidRPr="0041791D" w:rsidRDefault="0007732C" w:rsidP="0007732C">
            <w:pPr>
              <w:jc w:val="center"/>
              <w:rPr>
                <w:rFonts w:asciiTheme="minorHAnsi" w:eastAsia="Calibri" w:hAnsiTheme="minorHAnsi" w:cstheme="minorHAnsi"/>
                <w:strike/>
                <w:sz w:val="24"/>
                <w:szCs w:val="24"/>
              </w:rPr>
            </w:pPr>
            <w:r w:rsidRPr="0041791D">
              <w:rPr>
                <w:rFonts w:asciiTheme="minorHAnsi" w:eastAsia="Calibri" w:hAnsiTheme="minorHAnsi" w:cstheme="minorHAnsi"/>
                <w:sz w:val="24"/>
                <w:szCs w:val="24"/>
              </w:rPr>
              <w:t>22,134,000</w:t>
            </w:r>
          </w:p>
        </w:tc>
        <w:tc>
          <w:tcPr>
            <w:tcW w:w="5090" w:type="dxa"/>
            <w:vAlign w:val="center"/>
          </w:tcPr>
          <w:p w14:paraId="6A52028A" w14:textId="77777777" w:rsidR="0007732C" w:rsidRPr="0041791D" w:rsidRDefault="0007732C" w:rsidP="0007732C">
            <w:pPr>
              <w:rPr>
                <w:rFonts w:asciiTheme="minorHAnsi" w:eastAsia="Calibri" w:hAnsiTheme="minorHAnsi" w:cstheme="minorHAnsi"/>
                <w:strike/>
                <w:sz w:val="24"/>
                <w:szCs w:val="24"/>
              </w:rPr>
            </w:pPr>
            <w:r w:rsidRPr="0041791D">
              <w:rPr>
                <w:rFonts w:asciiTheme="minorHAnsi" w:eastAsia="Calibri" w:hAnsiTheme="minorHAnsi" w:cstheme="minorHAnsi"/>
                <w:sz w:val="24"/>
                <w:szCs w:val="24"/>
              </w:rPr>
              <w:t>Addition of West and East triangles (3,400,000 yd</w:t>
            </w:r>
            <w:proofErr w:type="gramStart"/>
            <w:r w:rsidRPr="0041791D">
              <w:rPr>
                <w:rFonts w:asciiTheme="minorHAnsi" w:eastAsia="Calibri" w:hAnsiTheme="minorHAnsi" w:cstheme="minorHAnsi"/>
                <w:sz w:val="24"/>
                <w:szCs w:val="24"/>
                <w:vertAlign w:val="superscript"/>
              </w:rPr>
              <w:t xml:space="preserve">3 </w:t>
            </w:r>
            <w:r w:rsidRPr="0041791D">
              <w:rPr>
                <w:rFonts w:asciiTheme="minorHAnsi" w:eastAsia="Calibri" w:hAnsiTheme="minorHAnsi" w:cstheme="minorHAnsi"/>
                <w:sz w:val="24"/>
                <w:szCs w:val="24"/>
              </w:rPr>
              <w:t xml:space="preserve"> and</w:t>
            </w:r>
            <w:proofErr w:type="gramEnd"/>
            <w:r w:rsidRPr="0041791D">
              <w:rPr>
                <w:rFonts w:asciiTheme="minorHAnsi" w:eastAsia="Calibri" w:hAnsiTheme="minorHAnsi" w:cstheme="minorHAnsi"/>
                <w:sz w:val="24"/>
                <w:szCs w:val="24"/>
              </w:rPr>
              <w:t xml:space="preserve">  5,600,000 yd</w:t>
            </w:r>
            <w:r w:rsidRPr="0041791D">
              <w:rPr>
                <w:rFonts w:asciiTheme="minorHAnsi" w:eastAsia="Calibri" w:hAnsiTheme="minorHAnsi" w:cstheme="minorHAnsi"/>
                <w:sz w:val="24"/>
                <w:szCs w:val="24"/>
                <w:vertAlign w:val="superscript"/>
              </w:rPr>
              <w:t>3</w:t>
            </w:r>
            <w:r w:rsidRPr="0041791D">
              <w:rPr>
                <w:rFonts w:asciiTheme="minorHAnsi" w:eastAsia="Calibri" w:hAnsiTheme="minorHAnsi" w:cstheme="minorHAnsi"/>
                <w:sz w:val="24"/>
                <w:szCs w:val="24"/>
              </w:rPr>
              <w:t xml:space="preserve"> respectively); calculated from 2003 Site Development plan 1999 cell volume figures</w:t>
            </w:r>
          </w:p>
        </w:tc>
      </w:tr>
      <w:tr w:rsidR="0007732C" w:rsidRPr="0041791D" w14:paraId="48DBFE2A" w14:textId="77777777" w:rsidTr="00CD02A5">
        <w:trPr>
          <w:trHeight w:val="720"/>
        </w:trPr>
        <w:tc>
          <w:tcPr>
            <w:tcW w:w="1493" w:type="dxa"/>
            <w:vAlign w:val="center"/>
          </w:tcPr>
          <w:p w14:paraId="4E097CD1" w14:textId="77777777" w:rsidR="0007732C" w:rsidRPr="0041791D" w:rsidRDefault="0007732C" w:rsidP="0007732C">
            <w:pPr>
              <w:jc w:val="center"/>
              <w:rPr>
                <w:rFonts w:asciiTheme="minorHAnsi" w:eastAsia="Calibri" w:hAnsiTheme="minorHAnsi" w:cstheme="minorHAnsi"/>
                <w:sz w:val="24"/>
                <w:szCs w:val="24"/>
              </w:rPr>
            </w:pPr>
            <w:commentRangeStart w:id="138"/>
            <w:r w:rsidRPr="0041791D">
              <w:rPr>
                <w:rFonts w:asciiTheme="minorHAnsi" w:eastAsia="Calibri" w:hAnsiTheme="minorHAnsi" w:cstheme="minorHAnsi"/>
                <w:sz w:val="24"/>
                <w:szCs w:val="24"/>
              </w:rPr>
              <w:t>2003</w:t>
            </w:r>
            <w:commentRangeEnd w:id="138"/>
            <w:r w:rsidRPr="0041791D">
              <w:rPr>
                <w:rFonts w:asciiTheme="minorHAnsi" w:eastAsia="Calibri" w:hAnsiTheme="minorHAnsi" w:cstheme="minorHAnsi"/>
                <w:sz w:val="24"/>
                <w:szCs w:val="24"/>
              </w:rPr>
              <w:commentReference w:id="138"/>
            </w:r>
          </w:p>
        </w:tc>
        <w:tc>
          <w:tcPr>
            <w:tcW w:w="2111" w:type="dxa"/>
            <w:vAlign w:val="center"/>
          </w:tcPr>
          <w:p w14:paraId="5D062C86" w14:textId="77777777" w:rsidR="0007732C" w:rsidRPr="0041791D" w:rsidRDefault="0007732C" w:rsidP="0007732C">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35,531,000</w:t>
            </w:r>
          </w:p>
        </w:tc>
        <w:tc>
          <w:tcPr>
            <w:tcW w:w="5090" w:type="dxa"/>
            <w:vAlign w:val="center"/>
          </w:tcPr>
          <w:p w14:paraId="50E6FF46" w14:textId="77777777" w:rsidR="0007732C" w:rsidRPr="00643660" w:rsidRDefault="0007732C" w:rsidP="0007732C">
            <w:pPr>
              <w:rPr>
                <w:rFonts w:asciiTheme="minorHAnsi" w:eastAsia="Calibri" w:hAnsiTheme="minorHAnsi" w:cstheme="minorHAnsi"/>
                <w:sz w:val="24"/>
                <w:szCs w:val="24"/>
              </w:rPr>
            </w:pPr>
            <w:r w:rsidRPr="0041791D">
              <w:rPr>
                <w:rFonts w:asciiTheme="minorHAnsi" w:eastAsia="Calibri" w:hAnsiTheme="minorHAnsi" w:cstheme="minorHAnsi"/>
                <w:sz w:val="24"/>
                <w:szCs w:val="24"/>
              </w:rPr>
              <w:t xml:space="preserve">2003 Site Development Plan, based on October 1999 cell volumes and adding West and East triangles, with Cell 6 </w:t>
            </w:r>
            <w:commentRangeStart w:id="139"/>
            <w:r w:rsidRPr="0041791D">
              <w:rPr>
                <w:rFonts w:asciiTheme="minorHAnsi" w:eastAsia="Calibri" w:hAnsiTheme="minorHAnsi" w:cstheme="minorHAnsi"/>
                <w:sz w:val="24"/>
                <w:szCs w:val="24"/>
              </w:rPr>
              <w:t>estimated</w:t>
            </w:r>
            <w:commentRangeEnd w:id="139"/>
            <w:r w:rsidRPr="0041791D">
              <w:rPr>
                <w:rFonts w:asciiTheme="minorHAnsi" w:eastAsia="Calibri" w:hAnsiTheme="minorHAnsi" w:cstheme="minorHAnsi"/>
                <w:sz w:val="24"/>
                <w:szCs w:val="24"/>
              </w:rPr>
              <w:commentReference w:id="139"/>
            </w:r>
            <w:r w:rsidRPr="00643660">
              <w:rPr>
                <w:rFonts w:asciiTheme="minorHAnsi" w:eastAsia="Calibri" w:hAnsiTheme="minorHAnsi" w:cstheme="minorHAnsi"/>
                <w:sz w:val="24"/>
                <w:szCs w:val="24"/>
              </w:rPr>
              <w:t xml:space="preserve"> at 13,397,000 yd</w:t>
            </w:r>
            <w:r w:rsidRPr="00643660">
              <w:rPr>
                <w:rFonts w:asciiTheme="minorHAnsi" w:eastAsia="Calibri" w:hAnsiTheme="minorHAnsi" w:cstheme="minorHAnsi"/>
                <w:sz w:val="24"/>
                <w:szCs w:val="24"/>
                <w:vertAlign w:val="superscript"/>
              </w:rPr>
              <w:t>3</w:t>
            </w:r>
          </w:p>
        </w:tc>
      </w:tr>
      <w:tr w:rsidR="0007732C" w:rsidRPr="0041791D" w14:paraId="59692337" w14:textId="77777777" w:rsidTr="00CD02A5">
        <w:trPr>
          <w:trHeight w:val="720"/>
        </w:trPr>
        <w:tc>
          <w:tcPr>
            <w:tcW w:w="1493" w:type="dxa"/>
            <w:vAlign w:val="center"/>
          </w:tcPr>
          <w:p w14:paraId="3AB27404" w14:textId="77777777" w:rsidR="0007732C" w:rsidRPr="0041791D" w:rsidRDefault="0007732C" w:rsidP="0007732C">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2004</w:t>
            </w:r>
          </w:p>
        </w:tc>
        <w:tc>
          <w:tcPr>
            <w:tcW w:w="2111" w:type="dxa"/>
            <w:vAlign w:val="center"/>
          </w:tcPr>
          <w:p w14:paraId="6B19805D" w14:textId="77777777" w:rsidR="0007732C" w:rsidRPr="0041791D" w:rsidRDefault="0007732C" w:rsidP="0007732C">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39,594,002</w:t>
            </w:r>
          </w:p>
        </w:tc>
        <w:tc>
          <w:tcPr>
            <w:tcW w:w="5090" w:type="dxa"/>
            <w:vAlign w:val="center"/>
          </w:tcPr>
          <w:p w14:paraId="4C5E517E" w14:textId="77777777" w:rsidR="0007732C" w:rsidRPr="0041791D" w:rsidRDefault="0007732C" w:rsidP="0007732C">
            <w:pPr>
              <w:rPr>
                <w:rFonts w:asciiTheme="minorHAnsi" w:eastAsia="Calibri" w:hAnsiTheme="minorHAnsi" w:cstheme="minorHAnsi"/>
                <w:sz w:val="24"/>
                <w:szCs w:val="24"/>
              </w:rPr>
            </w:pPr>
            <w:hyperlink r:id="rId29" w:history="1">
              <w:r w:rsidRPr="0041791D">
                <w:rPr>
                  <w:rFonts w:asciiTheme="minorHAnsi" w:eastAsia="Calibri" w:hAnsiTheme="minorHAnsi" w:cstheme="minorHAnsi"/>
                  <w:color w:val="0563C1"/>
                  <w:sz w:val="24"/>
                  <w:szCs w:val="24"/>
                  <w:u w:val="single"/>
                </w:rPr>
                <w:t>2004 Coffin Butte Landfill Annual Report</w:t>
              </w:r>
            </w:hyperlink>
          </w:p>
        </w:tc>
      </w:tr>
      <w:tr w:rsidR="0007732C" w:rsidRPr="0041791D" w14:paraId="2B690F4F" w14:textId="77777777" w:rsidTr="00CD02A5">
        <w:trPr>
          <w:trHeight w:val="720"/>
        </w:trPr>
        <w:tc>
          <w:tcPr>
            <w:tcW w:w="1493" w:type="dxa"/>
            <w:vAlign w:val="center"/>
          </w:tcPr>
          <w:p w14:paraId="3178EA05" w14:textId="77777777" w:rsidR="0007732C" w:rsidRPr="0041791D" w:rsidRDefault="0007732C" w:rsidP="0007732C">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2013</w:t>
            </w:r>
          </w:p>
        </w:tc>
        <w:tc>
          <w:tcPr>
            <w:tcW w:w="2111" w:type="dxa"/>
            <w:vAlign w:val="center"/>
          </w:tcPr>
          <w:p w14:paraId="06B69105" w14:textId="77777777" w:rsidR="0007732C" w:rsidRPr="0041791D" w:rsidRDefault="0007732C" w:rsidP="0007732C">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39,172,992</w:t>
            </w:r>
          </w:p>
        </w:tc>
        <w:tc>
          <w:tcPr>
            <w:tcW w:w="5090" w:type="dxa"/>
            <w:vAlign w:val="center"/>
          </w:tcPr>
          <w:p w14:paraId="24E62012" w14:textId="77777777" w:rsidR="0007732C" w:rsidRPr="0041791D" w:rsidRDefault="0007732C" w:rsidP="0007732C">
            <w:pPr>
              <w:rPr>
                <w:rFonts w:asciiTheme="minorHAnsi" w:eastAsia="Calibri" w:hAnsiTheme="minorHAnsi" w:cstheme="minorHAnsi"/>
                <w:sz w:val="24"/>
                <w:szCs w:val="24"/>
              </w:rPr>
            </w:pPr>
            <w:hyperlink r:id="rId30" w:history="1">
              <w:r w:rsidRPr="0041791D">
                <w:rPr>
                  <w:rFonts w:asciiTheme="minorHAnsi" w:eastAsia="Calibri" w:hAnsiTheme="minorHAnsi" w:cstheme="minorHAnsi"/>
                  <w:color w:val="0563C1"/>
                  <w:sz w:val="24"/>
                  <w:szCs w:val="24"/>
                  <w:u w:val="single"/>
                </w:rPr>
                <w:t>2013 Coffin Butte Landfill Annual Report</w:t>
              </w:r>
            </w:hyperlink>
          </w:p>
        </w:tc>
      </w:tr>
      <w:tr w:rsidR="0007732C" w:rsidRPr="0041791D" w14:paraId="2AE905AB" w14:textId="77777777" w:rsidTr="00CD02A5">
        <w:trPr>
          <w:trHeight w:val="720"/>
        </w:trPr>
        <w:tc>
          <w:tcPr>
            <w:tcW w:w="1493" w:type="dxa"/>
            <w:vAlign w:val="center"/>
          </w:tcPr>
          <w:p w14:paraId="787D0916" w14:textId="77777777" w:rsidR="0007732C" w:rsidRPr="0041791D" w:rsidRDefault="0007732C" w:rsidP="0007732C">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2021</w:t>
            </w:r>
          </w:p>
        </w:tc>
        <w:tc>
          <w:tcPr>
            <w:tcW w:w="2111" w:type="dxa"/>
            <w:vAlign w:val="center"/>
          </w:tcPr>
          <w:p w14:paraId="6FD28474" w14:textId="77777777" w:rsidR="0007732C" w:rsidRPr="0041791D" w:rsidRDefault="0007732C" w:rsidP="0007732C">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38,997,848</w:t>
            </w:r>
          </w:p>
        </w:tc>
        <w:tc>
          <w:tcPr>
            <w:tcW w:w="5090" w:type="dxa"/>
            <w:vAlign w:val="center"/>
          </w:tcPr>
          <w:p w14:paraId="7A3052E5" w14:textId="77777777" w:rsidR="0007732C" w:rsidRPr="0041791D" w:rsidRDefault="0007732C" w:rsidP="0007732C">
            <w:pPr>
              <w:keepNext/>
              <w:rPr>
                <w:rFonts w:asciiTheme="minorHAnsi" w:eastAsia="Calibri" w:hAnsiTheme="minorHAnsi" w:cstheme="minorHAnsi"/>
                <w:sz w:val="24"/>
                <w:szCs w:val="24"/>
              </w:rPr>
            </w:pPr>
            <w:hyperlink r:id="rId31" w:history="1">
              <w:r w:rsidRPr="0041791D">
                <w:rPr>
                  <w:rFonts w:asciiTheme="minorHAnsi" w:eastAsia="Calibri" w:hAnsiTheme="minorHAnsi" w:cstheme="minorHAnsi"/>
                  <w:color w:val="0563C1"/>
                  <w:sz w:val="24"/>
                  <w:szCs w:val="24"/>
                  <w:u w:val="single"/>
                </w:rPr>
                <w:t>2021 Coffin Butte Landfill Annual Report</w:t>
              </w:r>
            </w:hyperlink>
          </w:p>
        </w:tc>
      </w:tr>
    </w:tbl>
    <w:p w14:paraId="488B28F1" w14:textId="77777777" w:rsidR="006F646F" w:rsidRPr="0041791D" w:rsidRDefault="006F646F" w:rsidP="006F646F">
      <w:pPr>
        <w:rPr>
          <w:rFonts w:eastAsia="Calibri" w:cstheme="minorHAnsi"/>
          <w:sz w:val="24"/>
          <w:szCs w:val="24"/>
        </w:rPr>
      </w:pPr>
    </w:p>
    <w:p w14:paraId="1DAE8BC1" w14:textId="77777777" w:rsidR="006F646F" w:rsidRPr="0041791D" w:rsidRDefault="006F646F" w:rsidP="006F646F">
      <w:pPr>
        <w:spacing w:after="240" w:line="240" w:lineRule="auto"/>
        <w:ind w:left="1440"/>
        <w:contextualSpacing/>
        <w:rPr>
          <w:rFonts w:eastAsia="Calibri" w:cstheme="minorHAnsi"/>
          <w:sz w:val="24"/>
          <w:szCs w:val="24"/>
        </w:rPr>
      </w:pPr>
    </w:p>
    <w:p w14:paraId="4C343BA9" w14:textId="77777777" w:rsidR="006F646F" w:rsidRPr="0041791D" w:rsidRDefault="006F646F" w:rsidP="006F646F">
      <w:pPr>
        <w:spacing w:after="240" w:line="240" w:lineRule="auto"/>
        <w:ind w:left="1440"/>
        <w:contextualSpacing/>
        <w:rPr>
          <w:rFonts w:eastAsia="Calibri" w:cstheme="minorHAnsi"/>
          <w:b/>
          <w:bCs/>
          <w:sz w:val="24"/>
          <w:szCs w:val="24"/>
        </w:rPr>
      </w:pPr>
    </w:p>
    <w:p w14:paraId="0AE1A65A" w14:textId="77777777" w:rsidR="006F646F" w:rsidRPr="0041791D" w:rsidRDefault="006F646F" w:rsidP="006F646F">
      <w:pPr>
        <w:keepNext/>
        <w:keepLines/>
        <w:numPr>
          <w:ilvl w:val="0"/>
          <w:numId w:val="7"/>
        </w:numPr>
        <w:spacing w:after="240" w:line="240" w:lineRule="auto"/>
        <w:ind w:hanging="180"/>
        <w:outlineLvl w:val="2"/>
        <w:rPr>
          <w:rFonts w:eastAsia="Times New Roman" w:cstheme="minorHAnsi"/>
          <w:b/>
          <w:bCs/>
          <w:sz w:val="24"/>
          <w:szCs w:val="24"/>
        </w:rPr>
      </w:pPr>
      <w:bookmarkStart w:id="140" w:name="_Toc128666878"/>
      <w:bookmarkStart w:id="141" w:name="_Toc129256712"/>
      <w:r w:rsidRPr="0041791D">
        <w:rPr>
          <w:rFonts w:eastAsia="Times New Roman" w:cstheme="minorHAnsi"/>
          <w:b/>
          <w:bCs/>
          <w:sz w:val="24"/>
          <w:szCs w:val="24"/>
        </w:rPr>
        <w:t>Capacity utilization 2001 – 2021</w:t>
      </w:r>
      <w:bookmarkEnd w:id="140"/>
      <w:bookmarkEnd w:id="141"/>
    </w:p>
    <w:p w14:paraId="0DB78A03"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The plot below shows the total permitted airspace and the available (remaining) airspace over the period 2001 – 2021.  Note that as of end 2021 approximately 44% of the total permitted capacity remained unused.</w:t>
      </w:r>
    </w:p>
    <w:p w14:paraId="55365B39" w14:textId="77777777" w:rsidR="006F646F" w:rsidRPr="007E6DA1" w:rsidRDefault="006F646F" w:rsidP="006F646F">
      <w:pPr>
        <w:spacing w:after="240" w:line="240" w:lineRule="auto"/>
        <w:jc w:val="center"/>
        <w:rPr>
          <w:rFonts w:eastAsia="Calibri" w:cstheme="minorHAnsi"/>
          <w:i/>
          <w:iCs/>
          <w:color w:val="FF0000"/>
          <w:sz w:val="24"/>
          <w:szCs w:val="24"/>
        </w:rPr>
      </w:pPr>
      <w:r w:rsidRPr="007E6DA1">
        <w:rPr>
          <w:rFonts w:eastAsia="Calibri" w:cstheme="minorHAnsi"/>
          <w:i/>
          <w:iCs/>
          <w:sz w:val="24"/>
          <w:szCs w:val="24"/>
        </w:rPr>
        <w:t>Chart 1</w:t>
      </w:r>
      <w:r w:rsidRPr="007E6DA1">
        <w:rPr>
          <w:rFonts w:eastAsia="Calibri" w:cstheme="minorHAnsi"/>
          <w:i/>
          <w:iCs/>
          <w:noProof/>
          <w:sz w:val="24"/>
          <w:szCs w:val="24"/>
        </w:rPr>
        <w:t>: Coffin Butte Airspace Total/Remaining 2001 - 2021</w:t>
      </w:r>
    </w:p>
    <w:p w14:paraId="21567426" w14:textId="527B8670" w:rsidR="006F646F" w:rsidRPr="0041791D" w:rsidRDefault="007E6DA1" w:rsidP="006F646F">
      <w:pPr>
        <w:keepNext/>
        <w:ind w:left="360"/>
        <w:rPr>
          <w:rFonts w:eastAsia="Calibri" w:cstheme="minorHAnsi"/>
          <w:sz w:val="24"/>
          <w:szCs w:val="24"/>
        </w:rPr>
      </w:pPr>
      <w:r w:rsidRPr="00382DAD">
        <w:rPr>
          <w:rFonts w:ascii="Calibri" w:eastAsia="Calibri" w:hAnsi="Calibri" w:cs="Calibri"/>
          <w:noProof/>
          <w:sz w:val="24"/>
          <w:szCs w:val="24"/>
        </w:rPr>
        <w:drawing>
          <wp:inline distT="0" distB="0" distL="0" distR="0" wp14:anchorId="67E166DA" wp14:editId="66593683">
            <wp:extent cx="5943600" cy="2454275"/>
            <wp:effectExtent l="0" t="0" r="0" b="3175"/>
            <wp:docPr id="7" name="Chart 7">
              <a:extLst xmlns:a="http://schemas.openxmlformats.org/drawingml/2006/main">
                <a:ext uri="{FF2B5EF4-FFF2-40B4-BE49-F238E27FC236}">
                  <a16:creationId xmlns:a16="http://schemas.microsoft.com/office/drawing/2014/main" id="{A890727E-11B4-43D5-A3CA-5920818C40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CB29280" w14:textId="77777777" w:rsidR="006F646F" w:rsidRPr="0041791D" w:rsidRDefault="006F646F" w:rsidP="006F646F">
      <w:pPr>
        <w:spacing w:before="120" w:after="240" w:line="240" w:lineRule="auto"/>
        <w:rPr>
          <w:rFonts w:eastAsia="Calibri" w:cstheme="minorHAnsi"/>
          <w:b/>
          <w:i/>
          <w:iCs/>
          <w:sz w:val="24"/>
          <w:szCs w:val="24"/>
        </w:rPr>
      </w:pPr>
    </w:p>
    <w:p w14:paraId="39AAF0EC" w14:textId="77777777" w:rsidR="006F646F" w:rsidRPr="0041791D" w:rsidRDefault="006F646F" w:rsidP="006F646F">
      <w:pPr>
        <w:ind w:left="360"/>
        <w:rPr>
          <w:rFonts w:eastAsia="Calibri" w:cstheme="minorHAnsi"/>
          <w:i/>
          <w:color w:val="FF0000"/>
          <w:sz w:val="24"/>
          <w:szCs w:val="24"/>
        </w:rPr>
      </w:pPr>
    </w:p>
    <w:p w14:paraId="6DE95EF4" w14:textId="77777777" w:rsidR="006F646F" w:rsidRPr="0041791D" w:rsidRDefault="006F646F" w:rsidP="006F646F">
      <w:pPr>
        <w:keepNext/>
        <w:keepLines/>
        <w:spacing w:before="120" w:after="120"/>
        <w:outlineLvl w:val="2"/>
        <w:rPr>
          <w:rFonts w:eastAsia="Times New Roman" w:cstheme="minorHAnsi"/>
          <w:b/>
          <w:bCs/>
          <w:sz w:val="24"/>
          <w:szCs w:val="24"/>
        </w:rPr>
      </w:pPr>
      <w:bookmarkStart w:id="142" w:name="_Toc128666879"/>
      <w:bookmarkStart w:id="143" w:name="_Toc129256713"/>
      <w:r w:rsidRPr="0041791D">
        <w:rPr>
          <w:rFonts w:eastAsia="Times New Roman" w:cstheme="minorHAnsi"/>
          <w:b/>
          <w:bCs/>
          <w:sz w:val="24"/>
          <w:szCs w:val="24"/>
        </w:rPr>
        <w:t xml:space="preserve">Near-term (circa 2025) capacity </w:t>
      </w:r>
      <w:r w:rsidRPr="00D4523E">
        <w:rPr>
          <w:rFonts w:eastAsia="Times New Roman" w:cstheme="minorHAnsi"/>
          <w:b/>
          <w:bCs/>
          <w:sz w:val="24"/>
          <w:szCs w:val="24"/>
        </w:rPr>
        <w:t>adjustments for 5-year operating plan</w:t>
      </w:r>
      <w:bookmarkEnd w:id="142"/>
      <w:bookmarkEnd w:id="143"/>
    </w:p>
    <w:p w14:paraId="2CECB2F3" w14:textId="77777777" w:rsidR="006F646F" w:rsidRPr="00EF58C3" w:rsidRDefault="006F646F" w:rsidP="006F646F">
      <w:pPr>
        <w:ind w:left="360"/>
        <w:rPr>
          <w:rFonts w:eastAsia="Calibri" w:cstheme="minorHAnsi"/>
          <w:sz w:val="24"/>
          <w:szCs w:val="24"/>
        </w:rPr>
      </w:pPr>
      <w:r w:rsidRPr="0041791D">
        <w:rPr>
          <w:rFonts w:eastAsia="Calibri" w:cstheme="minorHAnsi"/>
          <w:sz w:val="24"/>
          <w:szCs w:val="24"/>
        </w:rPr>
        <w:t xml:space="preserve">Republic Services is currently in discussion with Knife River regarding necessary permitting/steps to </w:t>
      </w:r>
      <w:commentRangeStart w:id="144"/>
      <w:commentRangeStart w:id="145"/>
      <w:r>
        <w:rPr>
          <w:rFonts w:eastAsia="Calibri" w:cstheme="minorHAnsi"/>
          <w:sz w:val="24"/>
          <w:szCs w:val="24"/>
        </w:rPr>
        <w:t xml:space="preserve">begin </w:t>
      </w:r>
      <w:r w:rsidRPr="00EF58C3">
        <w:rPr>
          <w:rFonts w:eastAsia="Calibri" w:cstheme="minorHAnsi"/>
          <w:sz w:val="24"/>
          <w:szCs w:val="24"/>
        </w:rPr>
        <w:t>accelerated</w:t>
      </w:r>
      <w:r>
        <w:rPr>
          <w:rFonts w:eastAsia="Calibri" w:cstheme="minorHAnsi"/>
          <w:sz w:val="24"/>
          <w:szCs w:val="24"/>
        </w:rPr>
        <w:t xml:space="preserve"> excavation of the quarry </w:t>
      </w:r>
      <w:commentRangeEnd w:id="144"/>
      <w:r w:rsidRPr="00EF58C3">
        <w:commentReference w:id="144"/>
      </w:r>
      <w:commentRangeEnd w:id="145"/>
      <w:r w:rsidRPr="00EF58C3">
        <w:rPr>
          <w:rFonts w:eastAsia="Calibri" w:cstheme="minorHAnsi"/>
          <w:sz w:val="24"/>
          <w:szCs w:val="24"/>
        </w:rPr>
        <w:commentReference w:id="145"/>
      </w:r>
      <w:r>
        <w:rPr>
          <w:rFonts w:eastAsia="Calibri" w:cstheme="minorHAnsi"/>
          <w:sz w:val="24"/>
          <w:szCs w:val="24"/>
        </w:rPr>
        <w:t xml:space="preserve"> </w:t>
      </w:r>
      <w:r w:rsidRPr="00EF58C3">
        <w:rPr>
          <w:rFonts w:eastAsia="Calibri" w:cstheme="minorHAnsi"/>
          <w:sz w:val="24"/>
          <w:szCs w:val="24"/>
        </w:rPr>
        <w:t xml:space="preserve"> </w:t>
      </w:r>
      <w:r w:rsidRPr="0041791D">
        <w:rPr>
          <w:rFonts w:eastAsia="Calibri" w:cstheme="minorHAnsi"/>
          <w:sz w:val="24"/>
          <w:szCs w:val="24"/>
        </w:rPr>
        <w:t xml:space="preserve">(future cell 6). </w:t>
      </w:r>
    </w:p>
    <w:p w14:paraId="0F99D4F2" w14:textId="2F25FBDD" w:rsidR="006F646F" w:rsidRPr="00A25718" w:rsidRDefault="006F646F" w:rsidP="006F646F">
      <w:pPr>
        <w:ind w:left="360"/>
        <w:rPr>
          <w:rFonts w:eastAsia="Calibri" w:cstheme="minorHAnsi"/>
          <w:sz w:val="24"/>
          <w:szCs w:val="24"/>
        </w:rPr>
      </w:pPr>
      <w:r w:rsidRPr="00A25718">
        <w:rPr>
          <w:rFonts w:eastAsia="Calibri" w:cstheme="minorHAnsi"/>
          <w:sz w:val="24"/>
          <w:szCs w:val="24"/>
        </w:rPr>
        <w:t>Valley Landfills Inc. anticipates it will no longer be able to place waste in Cell 5 by mid-year 2025. Republic Services</w:t>
      </w:r>
      <w:r w:rsidRPr="0041791D">
        <w:rPr>
          <w:rFonts w:eastAsia="Calibri" w:cstheme="minorHAnsi"/>
          <w:sz w:val="24"/>
          <w:szCs w:val="24"/>
        </w:rPr>
        <w:t xml:space="preserve"> is working on a plan to deposit waste in the permitted area of the landfill known as the quarry</w:t>
      </w:r>
      <w:r>
        <w:rPr>
          <w:rFonts w:eastAsia="Calibri" w:cstheme="minorHAnsi"/>
          <w:sz w:val="24"/>
          <w:szCs w:val="24"/>
        </w:rPr>
        <w:t xml:space="preserve"> (also referred to</w:t>
      </w:r>
      <w:r w:rsidRPr="0041791D">
        <w:rPr>
          <w:rFonts w:eastAsia="Calibri" w:cstheme="minorHAnsi"/>
          <w:sz w:val="24"/>
          <w:szCs w:val="24"/>
        </w:rPr>
        <w:t xml:space="preserve"> as Cell 6</w:t>
      </w:r>
      <w:r>
        <w:rPr>
          <w:rFonts w:eastAsia="Calibri" w:cstheme="minorHAnsi"/>
          <w:sz w:val="24"/>
          <w:szCs w:val="24"/>
        </w:rPr>
        <w:t>)</w:t>
      </w:r>
      <w:r w:rsidRPr="0041791D">
        <w:rPr>
          <w:rFonts w:eastAsia="Calibri" w:cstheme="minorHAnsi"/>
          <w:sz w:val="24"/>
          <w:szCs w:val="24"/>
        </w:rPr>
        <w:t>.</w:t>
      </w:r>
      <w:r w:rsidRPr="00A25718">
        <w:rPr>
          <w:rFonts w:eastAsia="Calibri" w:cstheme="minorHAnsi"/>
          <w:sz w:val="24"/>
          <w:szCs w:val="24"/>
        </w:rPr>
        <w:t xml:space="preserve"> Excavation of the primary quarry footprint is scheduled to begin in Spring of 2023 with completion in Spring 2025.</w:t>
      </w:r>
    </w:p>
    <w:p w14:paraId="3C73AD2B" w14:textId="77777777" w:rsidR="006F646F" w:rsidRPr="0041791D" w:rsidRDefault="006F646F" w:rsidP="006F646F">
      <w:pPr>
        <w:ind w:left="360"/>
        <w:rPr>
          <w:rFonts w:eastAsia="Calibri" w:cstheme="minorHAnsi"/>
          <w:sz w:val="24"/>
          <w:szCs w:val="24"/>
        </w:rPr>
      </w:pPr>
    </w:p>
    <w:p w14:paraId="3CC70E0F" w14:textId="77777777" w:rsidR="006F646F" w:rsidRPr="0041791D" w:rsidRDefault="006F646F" w:rsidP="006F646F">
      <w:pPr>
        <w:pStyle w:val="Heading3"/>
        <w:numPr>
          <w:ilvl w:val="0"/>
          <w:numId w:val="31"/>
        </w:numPr>
        <w:rPr>
          <w:rFonts w:asciiTheme="minorHAnsi" w:hAnsiTheme="minorHAnsi" w:cstheme="minorHAnsi"/>
        </w:rPr>
      </w:pPr>
      <w:bookmarkStart w:id="146" w:name="_Intake_Volume"/>
      <w:bookmarkStart w:id="147" w:name="_Toc128666880"/>
      <w:bookmarkStart w:id="148" w:name="_Toc129256714"/>
      <w:bookmarkEnd w:id="146"/>
      <w:r w:rsidRPr="0041791D">
        <w:rPr>
          <w:rFonts w:asciiTheme="minorHAnsi" w:hAnsiTheme="minorHAnsi" w:cstheme="minorHAnsi"/>
        </w:rPr>
        <w:t xml:space="preserve">Intake </w:t>
      </w:r>
      <w:commentRangeStart w:id="149"/>
      <w:r w:rsidRPr="0041791D">
        <w:rPr>
          <w:rFonts w:asciiTheme="minorHAnsi" w:hAnsiTheme="minorHAnsi" w:cstheme="minorHAnsi"/>
        </w:rPr>
        <w:t>Volume</w:t>
      </w:r>
      <w:commentRangeEnd w:id="149"/>
      <w:r w:rsidRPr="0041791D">
        <w:rPr>
          <w:rFonts w:asciiTheme="minorHAnsi" w:eastAsia="Calibri" w:hAnsiTheme="minorHAnsi" w:cstheme="minorHAnsi"/>
        </w:rPr>
        <w:commentReference w:id="149"/>
      </w:r>
      <w:bookmarkEnd w:id="147"/>
      <w:bookmarkEnd w:id="148"/>
    </w:p>
    <w:p w14:paraId="3B731B35"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Coffin Butte intake volume is documented in the annual reports produced by the landfill franchisee.  Benton County has annual reports on file for years 1993 – 2021 (inclusive) </w:t>
      </w:r>
      <w:proofErr w:type="gramStart"/>
      <w:r w:rsidRPr="0041791D">
        <w:rPr>
          <w:rFonts w:eastAsia="Calibri" w:cstheme="minorHAnsi"/>
          <w:sz w:val="24"/>
          <w:szCs w:val="24"/>
        </w:rPr>
        <w:t>with the exception of</w:t>
      </w:r>
      <w:proofErr w:type="gramEnd"/>
      <w:r w:rsidRPr="0041791D">
        <w:rPr>
          <w:rFonts w:eastAsia="Calibri" w:cstheme="minorHAnsi"/>
          <w:sz w:val="24"/>
          <w:szCs w:val="24"/>
        </w:rPr>
        <w:t xml:space="preserve"> year 2000; intake data for 2000 is available in the 2021 report.  Note that with older (pre-2008) reports, the annual intake volume figure is sometimes difficult to determine precisely due to inconsistent values stated within a given annual report (</w:t>
      </w:r>
      <w:proofErr w:type="gramStart"/>
      <w:r w:rsidRPr="0041791D">
        <w:rPr>
          <w:rFonts w:eastAsia="Calibri" w:cstheme="minorHAnsi"/>
          <w:sz w:val="24"/>
          <w:szCs w:val="24"/>
        </w:rPr>
        <w:t>e.g.</w:t>
      </w:r>
      <w:proofErr w:type="gramEnd"/>
      <w:r w:rsidRPr="0041791D">
        <w:rPr>
          <w:rFonts w:eastAsia="Calibri" w:cstheme="minorHAnsi"/>
          <w:sz w:val="24"/>
          <w:szCs w:val="24"/>
        </w:rPr>
        <w:t xml:space="preserve"> narrative summary vs. intake volume table) and/or discrepancies in values referenced in subsequent annual reports (e.g. historical comparisons).  Where discrepancies exist within a given annual report, the figure documented in the intake volume table is used.  See Appendix A for a detailed listing of the annual intake volumes used in this document.</w:t>
      </w:r>
    </w:p>
    <w:p w14:paraId="49E79E37" w14:textId="77777777" w:rsidR="006F646F" w:rsidRPr="00A25718" w:rsidRDefault="006F646F" w:rsidP="006F646F">
      <w:pPr>
        <w:keepNext/>
        <w:keepLines/>
        <w:numPr>
          <w:ilvl w:val="0"/>
          <w:numId w:val="24"/>
        </w:numPr>
        <w:spacing w:after="240" w:line="240" w:lineRule="auto"/>
        <w:outlineLvl w:val="2"/>
        <w:rPr>
          <w:rFonts w:eastAsia="Times New Roman" w:cstheme="minorHAnsi"/>
          <w:b/>
          <w:bCs/>
          <w:sz w:val="24"/>
          <w:szCs w:val="24"/>
        </w:rPr>
      </w:pPr>
      <w:bookmarkStart w:id="150" w:name="_Toc129256715"/>
      <w:bookmarkStart w:id="151" w:name="_Toc128666881"/>
      <w:commentRangeStart w:id="152"/>
      <w:r w:rsidRPr="0041791D">
        <w:rPr>
          <w:rFonts w:eastAsia="Times New Roman" w:cstheme="minorHAnsi"/>
          <w:b/>
          <w:bCs/>
          <w:sz w:val="24"/>
          <w:szCs w:val="24"/>
        </w:rPr>
        <w:t>2000 and 2020 Landfill</w:t>
      </w:r>
      <w:commentRangeEnd w:id="152"/>
      <w:r w:rsidRPr="0041791D">
        <w:rPr>
          <w:rFonts w:eastAsia="Times New Roman" w:cstheme="minorHAnsi"/>
          <w:b/>
          <w:bCs/>
          <w:sz w:val="24"/>
          <w:szCs w:val="24"/>
        </w:rPr>
        <w:commentReference w:id="152"/>
      </w:r>
      <w:r w:rsidRPr="0041791D">
        <w:rPr>
          <w:rFonts w:eastAsia="Times New Roman" w:cstheme="minorHAnsi"/>
          <w:b/>
          <w:bCs/>
          <w:sz w:val="24"/>
          <w:szCs w:val="24"/>
        </w:rPr>
        <w:t xml:space="preserve"> Franchise Agreement Intake </w:t>
      </w:r>
      <w:commentRangeStart w:id="153"/>
      <w:commentRangeStart w:id="154"/>
      <w:r w:rsidRPr="0041791D">
        <w:rPr>
          <w:rFonts w:eastAsia="Times New Roman" w:cstheme="minorHAnsi"/>
          <w:b/>
          <w:bCs/>
          <w:sz w:val="24"/>
          <w:szCs w:val="24"/>
        </w:rPr>
        <w:t>Thresholds</w:t>
      </w:r>
      <w:commentRangeEnd w:id="153"/>
      <w:r w:rsidRPr="0041791D">
        <w:rPr>
          <w:rFonts w:eastAsia="Calibri" w:cstheme="minorHAnsi"/>
          <w:sz w:val="24"/>
          <w:szCs w:val="24"/>
        </w:rPr>
        <w:commentReference w:id="153"/>
      </w:r>
      <w:commentRangeEnd w:id="154"/>
      <w:r w:rsidRPr="0041791D">
        <w:rPr>
          <w:rFonts w:eastAsia="Calibri" w:cstheme="minorHAnsi"/>
          <w:sz w:val="24"/>
          <w:szCs w:val="24"/>
        </w:rPr>
        <w:commentReference w:id="154"/>
      </w:r>
      <w:bookmarkEnd w:id="150"/>
      <w:r w:rsidRPr="0041791D">
        <w:rPr>
          <w:rFonts w:eastAsia="Times New Roman" w:cstheme="minorHAnsi"/>
          <w:b/>
          <w:bCs/>
          <w:sz w:val="24"/>
          <w:szCs w:val="24"/>
        </w:rPr>
        <w:t xml:space="preserve"> </w:t>
      </w:r>
      <w:bookmarkEnd w:id="151"/>
    </w:p>
    <w:p w14:paraId="55AD7547" w14:textId="77777777" w:rsidR="006F646F" w:rsidRPr="0041791D" w:rsidRDefault="006F646F" w:rsidP="006F646F">
      <w:pPr>
        <w:keepNext/>
        <w:keepLines/>
        <w:spacing w:after="240" w:line="240" w:lineRule="auto"/>
        <w:outlineLvl w:val="2"/>
        <w:rPr>
          <w:rFonts w:eastAsia="Times New Roman" w:cstheme="minorHAnsi"/>
          <w:b/>
          <w:bCs/>
          <w:sz w:val="24"/>
          <w:szCs w:val="24"/>
        </w:rPr>
      </w:pPr>
    </w:p>
    <w:p w14:paraId="7A7901B3" w14:textId="77777777" w:rsidR="006F646F" w:rsidRPr="0041791D" w:rsidRDefault="006F646F" w:rsidP="006F646F">
      <w:pPr>
        <w:ind w:left="360"/>
        <w:rPr>
          <w:rFonts w:eastAsia="Calibri" w:cstheme="minorHAnsi"/>
          <w:b/>
          <w:iCs/>
          <w:sz w:val="24"/>
          <w:szCs w:val="24"/>
          <w:u w:val="single"/>
        </w:rPr>
      </w:pPr>
      <w:r w:rsidRPr="0041791D">
        <w:rPr>
          <w:rFonts w:eastAsia="Calibri" w:cstheme="minorHAnsi"/>
          <w:b/>
          <w:iCs/>
          <w:sz w:val="24"/>
          <w:szCs w:val="24"/>
          <w:u w:val="single"/>
        </w:rPr>
        <w:t>Agreement Terms</w:t>
      </w:r>
    </w:p>
    <w:p w14:paraId="0F433939"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Both the 2000 Landfill Franchise Agreement and the 2020 Landfill Franchise Agreement include a section with the stipulation “The parties acknowledge that there may be adverse effects to the County’s infrastructure and environmental conditions due to increased annual volumes of Solid Waste accepted at the Landfill.”  In both agreements this section of the agreement then stipulates terms regarding intake volumes.</w:t>
      </w:r>
    </w:p>
    <w:p w14:paraId="20F709AA"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The 2000 Landfill Franchise Agreement mandated that the County was to perform a “Baseline” study as a reference for measuring potential future adverse effects (completed in 2001</w:t>
      </w:r>
      <w:proofErr w:type="gramStart"/>
      <w:r w:rsidRPr="0041791D">
        <w:rPr>
          <w:rFonts w:eastAsia="Calibri" w:cstheme="minorHAnsi"/>
          <w:iCs/>
          <w:sz w:val="24"/>
          <w:szCs w:val="24"/>
        </w:rPr>
        <w:t>), and</w:t>
      </w:r>
      <w:proofErr w:type="gramEnd"/>
      <w:r w:rsidRPr="0041791D">
        <w:rPr>
          <w:rFonts w:eastAsia="Calibri" w:cstheme="minorHAnsi"/>
          <w:iCs/>
          <w:sz w:val="24"/>
          <w:szCs w:val="24"/>
        </w:rPr>
        <w:t xml:space="preserve"> defined a ramping intake tonnage threshold to be applied during the term of the agreement (CY2001-2019).  See Appendix A for a detailed calculation of the annual values of this threshold.  In this document the threshold thus defined is termed the “2000 Intake Threshold.”  Intake volumes in excess of this threshold granted the County clear right to pursue specific remedies: a) the County, at its expense, could perform an updated Baseline assessment, and b) if the County determined that the new assessment indicated an adverse impact on “the Baseline,” the “parties [Benton County and the franchisee] shall immediately proceed in good faith to negotiate an increase in the Franchise Fee and/or Host Surcharge…”.  </w:t>
      </w:r>
    </w:p>
    <w:p w14:paraId="403A7CF3"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While the 2000 Landfill Franchisee Agreement did not refer to the intake threshold as a “limit,” in a presentation compiled by the Benton County Health Department for consideration at the September 4, </w:t>
      </w:r>
      <w:proofErr w:type="gramStart"/>
      <w:r w:rsidRPr="0041791D">
        <w:rPr>
          <w:rFonts w:eastAsia="Calibri" w:cstheme="minorHAnsi"/>
          <w:sz w:val="24"/>
          <w:szCs w:val="24"/>
        </w:rPr>
        <w:t>2018</w:t>
      </w:r>
      <w:proofErr w:type="gramEnd"/>
      <w:r w:rsidRPr="0041791D">
        <w:rPr>
          <w:rFonts w:eastAsia="Calibri" w:cstheme="minorHAnsi"/>
          <w:sz w:val="24"/>
          <w:szCs w:val="24"/>
        </w:rPr>
        <w:t xml:space="preserve"> Benton County Board of Commissioners meeting the 2000 agreement intake threshold was described in a key chart as “Annual Maximums Specified in Franchise Agreement”; see Page 33 of the </w:t>
      </w:r>
      <w:r w:rsidRPr="0041791D">
        <w:rPr>
          <w:rFonts w:eastAsia="Calibri" w:cstheme="minorHAnsi"/>
          <w:i/>
          <w:sz w:val="24"/>
          <w:szCs w:val="24"/>
        </w:rPr>
        <w:t>BentonCountyBoardofCommissionersMeeting_4Sep20189_180904_tu_pkt.pdf</w:t>
      </w:r>
      <w:r w:rsidRPr="0041791D">
        <w:rPr>
          <w:rFonts w:eastAsia="Calibri" w:cstheme="minorHAnsi"/>
          <w:sz w:val="24"/>
          <w:szCs w:val="24"/>
        </w:rPr>
        <w:t xml:space="preserve"> document. </w:t>
      </w:r>
    </w:p>
    <w:p w14:paraId="1ED846FA" w14:textId="77777777" w:rsidR="006F646F" w:rsidRPr="0041791D" w:rsidRDefault="006F646F" w:rsidP="006F646F">
      <w:pPr>
        <w:ind w:left="360"/>
        <w:rPr>
          <w:rFonts w:eastAsia="Calibri" w:cstheme="minorHAnsi"/>
          <w:iCs/>
          <w:sz w:val="24"/>
          <w:szCs w:val="24"/>
        </w:rPr>
      </w:pPr>
      <w:r w:rsidRPr="0041791D">
        <w:rPr>
          <w:rFonts w:eastAsia="Calibri" w:cstheme="minorHAnsi"/>
          <w:iCs/>
          <w:sz w:val="24"/>
          <w:szCs w:val="24"/>
        </w:rPr>
        <w:t xml:space="preserve">The 2020 Landfill Franchise Agreement stipulates that the total tonnage deposited at the Landfill “shall not exceed” 1.1M Tons per calendar year (described as the “Limit on Solid Waste) until “applications to expand the Landfill onto the Expansion Parcel are granted (following any and all appeals to final judgement).”  Of this 1.1 M Tons per year, 75,000 Tons per year were reserved for Solid Waste from the County exclusively, with the balance of 1.025 M Tons per year being termed the “Tonnage Cap.”  It was stipulated that “The County agrees that the Tonnage Cap shall not apply to any Solid Waste generated from fire, flood, other natural disaster or any Force Majeure event."  </w:t>
      </w:r>
    </w:p>
    <w:p w14:paraId="6A27B059" w14:textId="77777777" w:rsidR="006F646F" w:rsidRPr="0041791D" w:rsidRDefault="006F646F" w:rsidP="006F646F">
      <w:pPr>
        <w:rPr>
          <w:rFonts w:eastAsia="Calibri" w:cstheme="minorHAnsi"/>
          <w:sz w:val="24"/>
          <w:szCs w:val="24"/>
        </w:rPr>
      </w:pPr>
    </w:p>
    <w:p w14:paraId="0FA523C5" w14:textId="77777777" w:rsidR="006F646F" w:rsidRPr="0041791D" w:rsidRDefault="006F646F" w:rsidP="006F646F">
      <w:pPr>
        <w:ind w:left="360"/>
        <w:rPr>
          <w:rFonts w:eastAsia="Calibri" w:cstheme="minorHAnsi"/>
          <w:sz w:val="24"/>
          <w:szCs w:val="24"/>
        </w:rPr>
      </w:pPr>
    </w:p>
    <w:p w14:paraId="4D5A0373" w14:textId="77777777" w:rsidR="006F646F" w:rsidRPr="0041791D" w:rsidRDefault="006F646F" w:rsidP="006F646F">
      <w:pPr>
        <w:keepNext/>
        <w:keepLines/>
        <w:numPr>
          <w:ilvl w:val="0"/>
          <w:numId w:val="24"/>
        </w:numPr>
        <w:spacing w:before="120" w:after="120"/>
        <w:outlineLvl w:val="2"/>
        <w:rPr>
          <w:rFonts w:eastAsia="Times New Roman" w:cstheme="minorHAnsi"/>
          <w:b/>
          <w:bCs/>
          <w:sz w:val="24"/>
          <w:szCs w:val="24"/>
        </w:rPr>
      </w:pPr>
      <w:bookmarkStart w:id="155" w:name="_Toc128666882"/>
      <w:bookmarkStart w:id="156" w:name="_Toc129256716"/>
      <w:r w:rsidRPr="0041791D">
        <w:rPr>
          <w:rFonts w:eastAsia="Times New Roman" w:cstheme="minorHAnsi"/>
          <w:b/>
          <w:bCs/>
          <w:sz w:val="24"/>
          <w:szCs w:val="24"/>
        </w:rPr>
        <w:t>Recent intake volume: 1993 – 2021</w:t>
      </w:r>
      <w:bookmarkStart w:id="157" w:name="_Toc128666883"/>
      <w:bookmarkEnd w:id="155"/>
      <w:bookmarkEnd w:id="156"/>
      <w:bookmarkEnd w:id="157"/>
      <w:commentRangeStart w:id="158"/>
      <w:commentRangeStart w:id="159"/>
      <w:commentRangeStart w:id="160"/>
    </w:p>
    <w:p w14:paraId="1143262D" w14:textId="77777777" w:rsidR="006F646F" w:rsidRPr="0041791D" w:rsidRDefault="006F646F" w:rsidP="006F646F">
      <w:pPr>
        <w:pBdr>
          <w:top w:val="nil"/>
          <w:left w:val="nil"/>
          <w:bottom w:val="nil"/>
          <w:right w:val="nil"/>
          <w:between w:val="nil"/>
          <w:bar w:val="nil"/>
        </w:pBdr>
        <w:ind w:left="360"/>
        <w:rPr>
          <w:rFonts w:eastAsia="Arial Unicode MS" w:cstheme="minorHAnsi"/>
          <w:color w:val="000000"/>
          <w:sz w:val="24"/>
          <w:szCs w:val="24"/>
          <w:u w:color="000000"/>
          <w:bdr w:val="nil"/>
          <w14:textOutline w14:w="0" w14:cap="flat" w14:cmpd="sng" w14:algn="ctr">
            <w14:noFill/>
            <w14:prstDash w14:val="solid"/>
            <w14:bevel/>
          </w14:textOutline>
        </w:rPr>
      </w:pPr>
      <w:r w:rsidRPr="0041791D">
        <w:rPr>
          <w:rFonts w:eastAsia="Arial Unicode MS" w:cstheme="minorHAnsi"/>
          <w:color w:val="000000"/>
          <w:sz w:val="24"/>
          <w:szCs w:val="24"/>
          <w:u w:color="000000"/>
          <w:bdr w:val="nil"/>
          <w14:textOutline w14:w="0" w14:cap="flat" w14:cmpd="sng" w14:algn="ctr">
            <w14:noFill/>
            <w14:prstDash w14:val="solid"/>
            <w14:bevel/>
          </w14:textOutline>
        </w:rPr>
        <w:t xml:space="preserve">Annual intake volume for 1993 – 2021 is shown </w:t>
      </w:r>
      <w:commentRangeEnd w:id="158"/>
      <w:r w:rsidRPr="0041791D">
        <w:rPr>
          <w:rFonts w:eastAsia="Arial Unicode MS" w:cstheme="minorHAnsi"/>
          <w:vanish/>
          <w:color w:val="000000"/>
          <w:sz w:val="24"/>
          <w:szCs w:val="24"/>
          <w:u w:color="000000"/>
          <w:bdr w:val="nil"/>
          <w14:textOutline w14:w="0" w14:cap="flat" w14:cmpd="sng" w14:algn="ctr">
            <w14:noFill/>
            <w14:prstDash w14:val="solid"/>
            <w14:bevel/>
          </w14:textOutline>
        </w:rPr>
        <w:commentReference w:id="158"/>
      </w:r>
      <w:commentRangeEnd w:id="159"/>
      <w:r w:rsidRPr="0041791D">
        <w:rPr>
          <w:rFonts w:eastAsia="Arial Unicode MS" w:cstheme="minorHAnsi"/>
          <w:vanish/>
          <w:color w:val="000000"/>
          <w:sz w:val="24"/>
          <w:szCs w:val="24"/>
          <w:u w:color="000000"/>
          <w:bdr w:val="nil"/>
          <w14:textOutline w14:w="0" w14:cap="flat" w14:cmpd="sng" w14:algn="ctr">
            <w14:noFill/>
            <w14:prstDash w14:val="solid"/>
            <w14:bevel/>
          </w14:textOutline>
        </w:rPr>
        <w:commentReference w:id="159"/>
      </w:r>
      <w:commentRangeEnd w:id="160"/>
      <w:r w:rsidRPr="0041791D">
        <w:rPr>
          <w:rFonts w:eastAsia="Calibri" w:cstheme="minorHAnsi"/>
          <w:sz w:val="24"/>
          <w:szCs w:val="24"/>
          <w:u w:color="000000"/>
        </w:rPr>
        <w:commentReference w:id="160"/>
      </w:r>
      <w:commentRangeStart w:id="161"/>
      <w:commentRangeStart w:id="162"/>
      <w:r w:rsidRPr="0041791D">
        <w:rPr>
          <w:rFonts w:eastAsia="Arial Unicode MS" w:cstheme="minorHAnsi"/>
          <w:color w:val="000000"/>
          <w:sz w:val="24"/>
          <w:szCs w:val="24"/>
          <w:u w:color="000000"/>
          <w:bdr w:val="nil"/>
          <w14:textOutline w14:w="0" w14:cap="flat" w14:cmpd="sng" w14:algn="ctr">
            <w14:noFill/>
            <w14:prstDash w14:val="solid"/>
            <w14:bevel/>
          </w14:textOutline>
        </w:rPr>
        <w:t>in Figure 2.</w:t>
      </w:r>
      <w:commentRangeEnd w:id="161"/>
      <w:r w:rsidRPr="0041791D">
        <w:rPr>
          <w:rFonts w:eastAsia="Arial Unicode MS" w:cstheme="minorHAnsi"/>
          <w:color w:val="000000"/>
          <w:sz w:val="24"/>
          <w:szCs w:val="24"/>
          <w:u w:color="000000"/>
          <w:bdr w:val="nil"/>
          <w14:textOutline w14:w="0" w14:cap="flat" w14:cmpd="sng" w14:algn="ctr">
            <w14:noFill/>
            <w14:prstDash w14:val="solid"/>
            <w14:bevel/>
          </w14:textOutline>
        </w:rPr>
        <w:commentReference w:id="161"/>
      </w:r>
      <w:commentRangeEnd w:id="162"/>
      <w:r w:rsidRPr="0041791D">
        <w:rPr>
          <w:rFonts w:eastAsia="Arial Unicode MS" w:cstheme="minorHAnsi"/>
          <w:color w:val="000000"/>
          <w:sz w:val="24"/>
          <w:szCs w:val="24"/>
          <w:u w:color="000000"/>
          <w:bdr w:val="nil"/>
          <w14:textOutline w14:w="0" w14:cap="flat" w14:cmpd="sng" w14:algn="ctr">
            <w14:noFill/>
            <w14:prstDash w14:val="solid"/>
            <w14:bevel/>
          </w14:textOutline>
        </w:rPr>
        <w:commentReference w:id="162"/>
      </w:r>
      <w:r w:rsidRPr="0041791D">
        <w:rPr>
          <w:rFonts w:eastAsia="Arial Unicode MS" w:cstheme="minorHAnsi"/>
          <w:color w:val="000000"/>
          <w:sz w:val="24"/>
          <w:szCs w:val="24"/>
          <w:u w:color="000000"/>
          <w:bdr w:val="nil"/>
          <w14:textOutline w14:w="0" w14:cap="flat" w14:cmpd="sng" w14:algn="ctr">
            <w14:noFill/>
            <w14:prstDash w14:val="solid"/>
            <w14:bevel/>
          </w14:textOutline>
        </w:rPr>
        <w:t xml:space="preserve"> </w:t>
      </w:r>
    </w:p>
    <w:p w14:paraId="581C4631" w14:textId="77777777" w:rsidR="006F646F" w:rsidRPr="0041791D" w:rsidRDefault="006F646F" w:rsidP="006F646F">
      <w:pPr>
        <w:spacing w:after="240" w:line="240" w:lineRule="auto"/>
        <w:jc w:val="center"/>
        <w:rPr>
          <w:rFonts w:eastAsia="Calibri" w:cstheme="minorHAnsi"/>
          <w:iCs/>
          <w:noProof/>
          <w:sz w:val="24"/>
          <w:szCs w:val="24"/>
        </w:rPr>
      </w:pPr>
      <w:r w:rsidRPr="0041791D">
        <w:rPr>
          <w:rFonts w:eastAsia="Calibri" w:cstheme="minorHAnsi"/>
          <w:iCs/>
          <w:sz w:val="24"/>
          <w:szCs w:val="24"/>
        </w:rPr>
        <w:t>Chart 2</w:t>
      </w:r>
      <w:r w:rsidRPr="0041791D">
        <w:rPr>
          <w:rFonts w:eastAsia="Calibri" w:cstheme="minorHAnsi"/>
          <w:iCs/>
          <w:noProof/>
          <w:sz w:val="24"/>
          <w:szCs w:val="24"/>
        </w:rPr>
        <w:t>: Coffin Butte Landfill Intake 1993 - 2021</w:t>
      </w:r>
    </w:p>
    <w:p w14:paraId="4FBDA855" w14:textId="77777777" w:rsidR="006F646F" w:rsidRPr="0041791D" w:rsidRDefault="006F646F" w:rsidP="006F646F">
      <w:pPr>
        <w:keepNext/>
        <w:ind w:left="360"/>
        <w:rPr>
          <w:rFonts w:eastAsia="Calibri" w:cstheme="minorHAnsi"/>
          <w:sz w:val="24"/>
          <w:szCs w:val="24"/>
        </w:rPr>
      </w:pPr>
      <w:r w:rsidRPr="0041791D">
        <w:rPr>
          <w:rFonts w:eastAsia="Calibri" w:cstheme="minorHAnsi"/>
          <w:noProof/>
          <w:sz w:val="24"/>
          <w:szCs w:val="24"/>
        </w:rPr>
        <mc:AlternateContent>
          <mc:Choice Requires="wps">
            <w:drawing>
              <wp:anchor distT="45720" distB="45720" distL="114300" distR="114300" simplePos="0" relativeHeight="251659264" behindDoc="0" locked="0" layoutInCell="1" allowOverlap="1" wp14:anchorId="304151DF" wp14:editId="54EEB3DF">
                <wp:simplePos x="0" y="0"/>
                <wp:positionH relativeFrom="column">
                  <wp:posOffset>4960620</wp:posOffset>
                </wp:positionH>
                <wp:positionV relativeFrom="paragraph">
                  <wp:posOffset>704851</wp:posOffset>
                </wp:positionV>
                <wp:extent cx="1162050" cy="495300"/>
                <wp:effectExtent l="0" t="0" r="0" b="0"/>
                <wp:wrapNone/>
                <wp:docPr id="250361749" name="Text Box 250361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95300"/>
                        </a:xfrm>
                        <a:prstGeom prst="rect">
                          <a:avLst/>
                        </a:prstGeom>
                        <a:solidFill>
                          <a:srgbClr val="FFFFFF"/>
                        </a:solidFill>
                        <a:ln w="9525">
                          <a:noFill/>
                          <a:miter lim="800000"/>
                          <a:headEnd/>
                          <a:tailEnd/>
                        </a:ln>
                      </wps:spPr>
                      <wps:txbx>
                        <w:txbxContent>
                          <w:p w14:paraId="26764A79" w14:textId="77777777" w:rsidR="006F646F" w:rsidRPr="004863F2" w:rsidRDefault="006F646F" w:rsidP="006F646F">
                            <w:pPr>
                              <w:rPr>
                                <w:b/>
                                <w:sz w:val="20"/>
                              </w:rPr>
                            </w:pPr>
                            <w:r>
                              <w:rPr>
                                <w:b/>
                              </w:rPr>
                              <w:t>2020 Intake Limit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151DF" id="Text Box 250361749" o:spid="_x0000_s1032" type="#_x0000_t202" style="position:absolute;left:0;text-align:left;margin-left:390.6pt;margin-top:55.5pt;width:91.5pt;height:39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" stroked="f">
                <v:textbox>
                  <w:txbxContent>
                    <w:p w14:paraId="26764A79" w14:textId="77777777" w:rsidR="006F646F" w:rsidRPr="004863F2" w:rsidRDefault="006F646F" w:rsidP="006F646F">
                      <w:pPr>
                        <w:rPr>
                          <w:b/>
                          <w:sz w:val="20"/>
                        </w:rPr>
                      </w:pPr>
                      <w:r>
                        <w:rPr>
                          <w:b/>
                        </w:rPr>
                        <w:t>2020 Intake Limit</w:t>
                      </w:r>
                    </w:p>
                  </w:txbxContent>
                </v:textbox>
              </v:shape>
            </w:pict>
          </mc:Fallback>
        </mc:AlternateContent>
      </w:r>
      <w:r w:rsidRPr="0041791D">
        <w:rPr>
          <w:rFonts w:eastAsia="Calibri" w:cstheme="minorHAnsi"/>
          <w:noProof/>
          <w:sz w:val="24"/>
          <w:szCs w:val="24"/>
        </w:rPr>
        <mc:AlternateContent>
          <mc:Choice Requires="wps">
            <w:drawing>
              <wp:anchor distT="45720" distB="45720" distL="114300" distR="114300" simplePos="0" relativeHeight="251661312" behindDoc="0" locked="0" layoutInCell="1" allowOverlap="1" wp14:anchorId="64776660" wp14:editId="539F4E16">
                <wp:simplePos x="0" y="0"/>
                <wp:positionH relativeFrom="column">
                  <wp:posOffset>5210175</wp:posOffset>
                </wp:positionH>
                <wp:positionV relativeFrom="paragraph">
                  <wp:posOffset>1847850</wp:posOffset>
                </wp:positionV>
                <wp:extent cx="914400" cy="1404620"/>
                <wp:effectExtent l="0" t="0" r="0" b="2540"/>
                <wp:wrapNone/>
                <wp:docPr id="250361760" name="Text Box 250361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solidFill>
                          <a:srgbClr val="FFFFFF"/>
                        </a:solidFill>
                        <a:ln w="9525">
                          <a:noFill/>
                          <a:miter lim="800000"/>
                          <a:headEnd/>
                          <a:tailEnd/>
                        </a:ln>
                      </wps:spPr>
                      <wps:txbx>
                        <w:txbxContent>
                          <w:p w14:paraId="46A4ACAB" w14:textId="77777777" w:rsidR="006F646F" w:rsidRPr="004863F2" w:rsidRDefault="006F646F" w:rsidP="006F646F">
                            <w:pPr>
                              <w:rPr>
                                <w:b/>
                                <w:bCs/>
                                <w:sz w:val="24"/>
                                <w:szCs w:val="24"/>
                              </w:rPr>
                            </w:pPr>
                            <w:r w:rsidRPr="004863F2">
                              <w:rPr>
                                <w:rStyle w:val="cf01"/>
                                <w:b/>
                                <w:bCs/>
                                <w:sz w:val="20"/>
                              </w:rPr>
                              <w:t>2000 Intake Threshold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776660" id="Text Box 250361760" o:spid="_x0000_s1033" type="#_x0000_t202" style="position:absolute;left:0;text-align:left;margin-left:410.25pt;margin-top:145.5pt;width:1in;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" stroked="f">
                <v:textbox style="mso-fit-shape-to-text:t">
                  <w:txbxContent>
                    <w:p w14:paraId="46A4ACAB" w14:textId="77777777" w:rsidR="006F646F" w:rsidRPr="004863F2" w:rsidRDefault="006F646F" w:rsidP="006F646F">
                      <w:pPr>
                        <w:rPr>
                          <w:b/>
                          <w:bCs/>
                          <w:sz w:val="24"/>
                          <w:szCs w:val="24"/>
                        </w:rPr>
                      </w:pPr>
                      <w:r w:rsidRPr="004863F2">
                        <w:rPr>
                          <w:rStyle w:val="cf01"/>
                          <w:b/>
                          <w:bCs/>
                          <w:sz w:val="20"/>
                        </w:rPr>
                        <w:t>2000 Intake Threshold</w:t>
                      </w:r>
                    </w:p>
                  </w:txbxContent>
                </v:textbox>
              </v:shape>
            </w:pict>
          </mc:Fallback>
        </mc:AlternateContent>
      </w:r>
      <w:r w:rsidRPr="0041791D">
        <w:rPr>
          <w:rFonts w:eastAsia="Calibri" w:cstheme="minorHAnsi"/>
          <w:noProof/>
          <w:sz w:val="24"/>
          <w:szCs w:val="24"/>
        </w:rPr>
        <mc:AlternateContent>
          <mc:Choice Requires="wps">
            <w:drawing>
              <wp:anchor distT="0" distB="0" distL="114300" distR="114300" simplePos="0" relativeHeight="251660288" behindDoc="0" locked="0" layoutInCell="1" allowOverlap="1" wp14:anchorId="21837A56" wp14:editId="4BF8EEA3">
                <wp:simplePos x="0" y="0"/>
                <wp:positionH relativeFrom="column">
                  <wp:posOffset>4638675</wp:posOffset>
                </wp:positionH>
                <wp:positionV relativeFrom="paragraph">
                  <wp:posOffset>715328</wp:posOffset>
                </wp:positionV>
                <wp:extent cx="1343978" cy="0"/>
                <wp:effectExtent l="0" t="0" r="27940" b="19050"/>
                <wp:wrapNone/>
                <wp:docPr id="250361750" name="Straight Connector 250361750"/>
                <wp:cNvGraphicFramePr/>
                <a:graphic xmlns:a="http://schemas.openxmlformats.org/drawingml/2006/main">
                  <a:graphicData uri="http://schemas.microsoft.com/office/word/2010/wordprocessingShape">
                    <wps:wsp>
                      <wps:cNvCnPr/>
                      <wps:spPr>
                        <a:xfrm>
                          <a:off x="0" y="0"/>
                          <a:ext cx="1343978" cy="0"/>
                        </a:xfrm>
                        <a:prstGeom prst="line">
                          <a:avLst/>
                        </a:prstGeom>
                        <a:noFill/>
                        <a:ln w="2540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F9C70B" id="Straight Connector 250361750"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25pt,56.35pt" to="471.1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" strokecolor="red" strokeweight="2pt">
                <v:stroke dashstyle="3 1" joinstyle="miter"/>
              </v:line>
            </w:pict>
          </mc:Fallback>
        </mc:AlternateContent>
      </w:r>
      <w:r w:rsidRPr="0041791D">
        <w:rPr>
          <w:rFonts w:eastAsia="Calibri" w:cstheme="minorHAnsi"/>
          <w:noProof/>
          <w:sz w:val="24"/>
          <w:szCs w:val="24"/>
        </w:rPr>
        <w:drawing>
          <wp:inline distT="0" distB="0" distL="0" distR="0" wp14:anchorId="27E7C24D" wp14:editId="0115CAB6">
            <wp:extent cx="5943600" cy="3382645"/>
            <wp:effectExtent l="0" t="0" r="0" b="8255"/>
            <wp:docPr id="250361763" name="Chart 2503617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9EF9940" w14:textId="77777777" w:rsidR="006F646F" w:rsidRPr="0041791D" w:rsidRDefault="006F646F" w:rsidP="006F646F">
      <w:pPr>
        <w:keepNext/>
        <w:keepLines/>
        <w:numPr>
          <w:ilvl w:val="0"/>
          <w:numId w:val="24"/>
        </w:numPr>
        <w:spacing w:after="240" w:line="240" w:lineRule="auto"/>
        <w:outlineLvl w:val="2"/>
        <w:rPr>
          <w:rFonts w:eastAsia="Times New Roman" w:cstheme="minorHAnsi"/>
          <w:b/>
          <w:bCs/>
          <w:sz w:val="24"/>
          <w:szCs w:val="24"/>
        </w:rPr>
      </w:pPr>
      <w:bookmarkStart w:id="163" w:name="_Toc128666884"/>
      <w:bookmarkStart w:id="164" w:name="_Toc129256717"/>
      <w:r w:rsidRPr="0041791D">
        <w:rPr>
          <w:rFonts w:eastAsia="Times New Roman" w:cstheme="minorHAnsi"/>
          <w:b/>
          <w:bCs/>
          <w:sz w:val="24"/>
          <w:szCs w:val="24"/>
        </w:rPr>
        <w:t>Comments/discussion:</w:t>
      </w:r>
      <w:bookmarkEnd w:id="163"/>
      <w:bookmarkEnd w:id="164"/>
    </w:p>
    <w:p w14:paraId="37D6F3F5" w14:textId="77777777" w:rsidR="006F646F" w:rsidRPr="0041791D" w:rsidRDefault="006F646F" w:rsidP="006F646F">
      <w:pPr>
        <w:numPr>
          <w:ilvl w:val="0"/>
          <w:numId w:val="8"/>
        </w:numPr>
        <w:spacing w:after="60"/>
        <w:ind w:left="1080"/>
        <w:rPr>
          <w:rFonts w:eastAsia="Calibri" w:cstheme="minorHAnsi"/>
          <w:sz w:val="24"/>
          <w:szCs w:val="24"/>
        </w:rPr>
      </w:pPr>
      <w:bookmarkStart w:id="165" w:name="_Hlk125385122"/>
      <w:r w:rsidRPr="0041791D">
        <w:rPr>
          <w:rFonts w:eastAsia="Calibri" w:cstheme="minorHAnsi"/>
          <w:sz w:val="24"/>
          <w:szCs w:val="24"/>
        </w:rPr>
        <w:t>The landfill operator generally chooses how much tonnage to accept, based on demand and their contracts with various jurisdictions and haulers. Some of the increasing tonnage accepted at the landfill from 1993-2021 reflect the increase in business development.</w:t>
      </w:r>
    </w:p>
    <w:bookmarkEnd w:id="165"/>
    <w:p w14:paraId="4C59D153" w14:textId="77777777" w:rsidR="006F646F" w:rsidRPr="0041791D" w:rsidRDefault="006F646F" w:rsidP="006F646F">
      <w:pPr>
        <w:numPr>
          <w:ilvl w:val="0"/>
          <w:numId w:val="8"/>
        </w:numPr>
        <w:spacing w:after="60"/>
        <w:ind w:left="1080"/>
        <w:rPr>
          <w:rFonts w:eastAsia="Calibri" w:cstheme="minorHAnsi"/>
          <w:sz w:val="24"/>
          <w:szCs w:val="24"/>
        </w:rPr>
      </w:pPr>
      <w:r w:rsidRPr="0041791D">
        <w:rPr>
          <w:rFonts w:eastAsia="Calibri" w:cstheme="minorHAnsi"/>
          <w:sz w:val="24"/>
          <w:szCs w:val="24"/>
        </w:rPr>
        <w:t xml:space="preserve">The annual Coffin Butte intake tonnage exceeded the 2000 Intake Threshold in calendar years 2017, 2018, and 2019 (see Appendix A for exact figures).  The County did not perform an updated impact assessment </w:t>
      </w:r>
      <w:proofErr w:type="gramStart"/>
      <w:r w:rsidRPr="0041791D">
        <w:rPr>
          <w:rFonts w:eastAsia="Calibri" w:cstheme="minorHAnsi"/>
          <w:sz w:val="24"/>
          <w:szCs w:val="24"/>
        </w:rPr>
        <w:t>as a result of</w:t>
      </w:r>
      <w:proofErr w:type="gramEnd"/>
      <w:r w:rsidRPr="0041791D">
        <w:rPr>
          <w:rFonts w:eastAsia="Calibri" w:cstheme="minorHAnsi"/>
          <w:sz w:val="24"/>
          <w:szCs w:val="24"/>
        </w:rPr>
        <w:t xml:space="preserve"> the 2017-2019 tonnage threshold exceedances and no fee increase negation was undertaken. </w:t>
      </w:r>
      <w:r w:rsidRPr="0041791D">
        <w:rPr>
          <w:rFonts w:eastAsia="Calibri" w:cstheme="minorHAnsi"/>
          <w:strike/>
          <w:sz w:val="24"/>
          <w:szCs w:val="24"/>
        </w:rPr>
        <w:t xml:space="preserve"> </w:t>
      </w:r>
    </w:p>
    <w:p w14:paraId="2CC03665" w14:textId="77777777" w:rsidR="006F646F" w:rsidRPr="0041791D" w:rsidRDefault="006F646F" w:rsidP="006F646F">
      <w:pPr>
        <w:numPr>
          <w:ilvl w:val="0"/>
          <w:numId w:val="8"/>
        </w:numPr>
        <w:spacing w:after="60"/>
        <w:ind w:left="1080"/>
        <w:rPr>
          <w:rFonts w:eastAsia="Calibri" w:cstheme="minorHAnsi"/>
          <w:sz w:val="24"/>
          <w:szCs w:val="24"/>
        </w:rPr>
      </w:pPr>
      <w:r w:rsidRPr="0041791D">
        <w:rPr>
          <w:rFonts w:eastAsia="Calibri" w:cstheme="minorHAnsi"/>
          <w:sz w:val="24"/>
          <w:szCs w:val="24"/>
        </w:rPr>
        <w:t xml:space="preserve">Due to an expected additional influx of volume in 2017 resulting from the </w:t>
      </w:r>
      <w:commentRangeStart w:id="166"/>
      <w:commentRangeEnd w:id="166"/>
      <w:r w:rsidRPr="0041791D">
        <w:rPr>
          <w:rFonts w:eastAsia="Calibri" w:cstheme="minorHAnsi"/>
          <w:vanish/>
          <w:sz w:val="24"/>
          <w:szCs w:val="24"/>
        </w:rPr>
        <w:commentReference w:id="166"/>
      </w:r>
      <w:r w:rsidRPr="0041791D">
        <w:rPr>
          <w:rFonts w:eastAsia="Calibri" w:cstheme="minorHAnsi"/>
          <w:sz w:val="24"/>
          <w:szCs w:val="24"/>
        </w:rPr>
        <w:t>onset of the closure process for Riverbend landfill in Yamhill County, in December 2016 the franchisee and Benton County executed a MOU (</w:t>
      </w:r>
      <w:hyperlink r:id="rId34" w:tgtFrame="_blank" w:history="1">
        <w:r w:rsidRPr="0041791D">
          <w:rPr>
            <w:rFonts w:eastAsia="Calibri" w:cstheme="minorHAnsi"/>
            <w:color w:val="0563C1"/>
            <w:sz w:val="24"/>
            <w:szCs w:val="24"/>
            <w:u w:val="single"/>
          </w:rPr>
          <w:t>Benton County &amp; Republic Services MOU Relating to Additional Tonnage (2016)</w:t>
        </w:r>
      </w:hyperlink>
      <w:r w:rsidRPr="0041791D">
        <w:rPr>
          <w:rFonts w:eastAsia="Calibri" w:cstheme="minorHAnsi"/>
          <w:sz w:val="24"/>
          <w:szCs w:val="24"/>
        </w:rPr>
        <w:t xml:space="preserve">) acknowledging </w:t>
      </w:r>
      <w:commentRangeStart w:id="167"/>
      <w:commentRangeEnd w:id="167"/>
      <w:r w:rsidRPr="0041791D">
        <w:rPr>
          <w:rFonts w:eastAsia="Calibri" w:cstheme="minorHAnsi"/>
          <w:sz w:val="24"/>
          <w:szCs w:val="24"/>
        </w:rPr>
        <w:commentReference w:id="167"/>
      </w:r>
      <w:r w:rsidRPr="0041791D">
        <w:rPr>
          <w:rFonts w:eastAsia="Calibri" w:cstheme="minorHAnsi"/>
          <w:sz w:val="24"/>
          <w:szCs w:val="24"/>
        </w:rPr>
        <w:t>an expected increase in Coffin Butte intake volume “for a term of 1-2 years.”</w:t>
      </w:r>
    </w:p>
    <w:p w14:paraId="6CA7F12D" w14:textId="74EDF3E8" w:rsidR="006F646F" w:rsidRPr="004F74B9" w:rsidRDefault="006F646F" w:rsidP="006F646F">
      <w:pPr>
        <w:numPr>
          <w:ilvl w:val="0"/>
          <w:numId w:val="8"/>
        </w:numPr>
        <w:spacing w:after="60"/>
        <w:ind w:left="1080"/>
        <w:contextualSpacing/>
        <w:rPr>
          <w:rFonts w:eastAsia="Calibri" w:cstheme="minorHAnsi"/>
          <w:sz w:val="24"/>
          <w:szCs w:val="24"/>
        </w:rPr>
      </w:pPr>
      <w:r w:rsidRPr="0041791D">
        <w:rPr>
          <w:rFonts w:eastAsia="Calibri" w:cstheme="minorHAnsi"/>
          <w:sz w:val="24"/>
          <w:szCs w:val="24"/>
        </w:rPr>
        <w:t xml:space="preserve">In documents provided to the A.1 Subcommittee, representatives of the franchisee have indicated that the approximately 70.25% year-over-year increase in CY2016-2017 was primarily </w:t>
      </w:r>
      <w:commentRangeStart w:id="168"/>
      <w:r w:rsidRPr="0041791D">
        <w:rPr>
          <w:rFonts w:eastAsia="Calibri" w:cstheme="minorHAnsi"/>
          <w:sz w:val="24"/>
          <w:szCs w:val="24"/>
        </w:rPr>
        <w:t>due to redirected flow from Riverbend</w:t>
      </w:r>
      <w:commentRangeEnd w:id="168"/>
      <w:r w:rsidRPr="0041791D">
        <w:rPr>
          <w:rFonts w:eastAsia="Calibri" w:cstheme="minorHAnsi"/>
          <w:sz w:val="24"/>
          <w:szCs w:val="24"/>
        </w:rPr>
        <w:commentReference w:id="168"/>
      </w:r>
      <w:r w:rsidRPr="0041791D">
        <w:rPr>
          <w:rFonts w:eastAsia="Calibri" w:cstheme="minorHAnsi"/>
          <w:sz w:val="24"/>
          <w:szCs w:val="24"/>
        </w:rPr>
        <w:t xml:space="preserve"> to Coffin </w:t>
      </w:r>
      <w:commentRangeStart w:id="169"/>
      <w:commentRangeStart w:id="170"/>
      <w:r w:rsidRPr="0041791D">
        <w:rPr>
          <w:rFonts w:eastAsia="Calibri" w:cstheme="minorHAnsi"/>
          <w:sz w:val="24"/>
          <w:szCs w:val="24"/>
        </w:rPr>
        <w:t>Butte</w:t>
      </w:r>
      <w:commentRangeEnd w:id="169"/>
      <w:r w:rsidRPr="0041791D">
        <w:rPr>
          <w:rFonts w:eastAsia="Calibri" w:cstheme="minorHAnsi"/>
          <w:sz w:val="24"/>
          <w:szCs w:val="24"/>
        </w:rPr>
        <w:commentReference w:id="169"/>
      </w:r>
      <w:commentRangeEnd w:id="170"/>
      <w:r w:rsidRPr="0041791D">
        <w:rPr>
          <w:rFonts w:eastAsia="Calibri" w:cstheme="minorHAnsi"/>
          <w:sz w:val="24"/>
          <w:szCs w:val="24"/>
        </w:rPr>
        <w:commentReference w:id="170"/>
      </w:r>
      <w:r w:rsidRPr="0041791D">
        <w:rPr>
          <w:rFonts w:eastAsia="Calibri" w:cstheme="minorHAnsi"/>
          <w:sz w:val="24"/>
          <w:szCs w:val="24"/>
        </w:rPr>
        <w:t xml:space="preserve">.  </w:t>
      </w:r>
      <w:r w:rsidRPr="00355FF8">
        <w:rPr>
          <w:rFonts w:eastAsia="Calibri" w:cstheme="minorHAnsi"/>
          <w:sz w:val="24"/>
          <w:szCs w:val="24"/>
        </w:rPr>
        <w:t xml:space="preserve">Other factors, including </w:t>
      </w:r>
      <w:commentRangeStart w:id="171"/>
      <w:commentRangeStart w:id="172"/>
      <w:r w:rsidRPr="0039702E">
        <w:rPr>
          <w:rFonts w:eastAsia="Calibri" w:cstheme="minorHAnsi"/>
          <w:sz w:val="24"/>
          <w:szCs w:val="24"/>
        </w:rPr>
        <w:t>rapid population growth in Willamette Valley and Western Oregon</w:t>
      </w:r>
      <w:commentRangeEnd w:id="171"/>
      <w:r w:rsidRPr="0039702E">
        <w:rPr>
          <w:rFonts w:eastAsia="Calibri" w:cstheme="minorHAnsi"/>
          <w:sz w:val="24"/>
          <w:szCs w:val="24"/>
        </w:rPr>
        <w:commentReference w:id="171"/>
      </w:r>
      <w:commentRangeEnd w:id="172"/>
      <w:r w:rsidRPr="0039702E">
        <w:rPr>
          <w:rFonts w:eastAsia="Calibri" w:cstheme="minorHAnsi"/>
          <w:sz w:val="24"/>
          <w:szCs w:val="24"/>
        </w:rPr>
        <w:commentReference w:id="172"/>
      </w:r>
      <w:r>
        <w:rPr>
          <w:rFonts w:eastAsia="Calibri" w:cstheme="minorHAnsi"/>
          <w:sz w:val="24"/>
          <w:szCs w:val="24"/>
        </w:rPr>
        <w:t xml:space="preserve"> </w:t>
      </w:r>
      <w:r w:rsidRPr="001230E6">
        <w:rPr>
          <w:rFonts w:eastAsia="Calibri" w:cstheme="minorHAnsi"/>
          <w:sz w:val="24"/>
          <w:szCs w:val="24"/>
        </w:rPr>
        <w:t>also played a role, according to the franchisee</w:t>
      </w:r>
      <w:r w:rsidRPr="0039702E">
        <w:rPr>
          <w:rFonts w:eastAsia="Calibri" w:cstheme="minorHAnsi"/>
          <w:sz w:val="24"/>
          <w:szCs w:val="24"/>
        </w:rPr>
        <w:t xml:space="preserve">.  Note that data from the Portland State University Population Center </w:t>
      </w:r>
      <w:r w:rsidRPr="004F74B9">
        <w:rPr>
          <w:rFonts w:eastAsia="Calibri" w:cstheme="minorHAnsi"/>
          <w:sz w:val="24"/>
          <w:szCs w:val="24"/>
        </w:rPr>
        <w:t xml:space="preserve">  indicates t</w:t>
      </w:r>
      <w:commentRangeStart w:id="173"/>
      <w:r w:rsidRPr="004F74B9">
        <w:rPr>
          <w:rFonts w:eastAsia="Calibri" w:cstheme="minorHAnsi"/>
          <w:sz w:val="24"/>
          <w:szCs w:val="24"/>
        </w:rPr>
        <w:t xml:space="preserve">he population of the 6-county service area defined in the 2000 Landfill Franchise Agreement grew 3.6% </w:t>
      </w:r>
      <w:r w:rsidRPr="004F74B9">
        <w:rPr>
          <w:rFonts w:eastAsia="Calibri" w:cstheme="minorHAnsi"/>
          <w:sz w:val="24"/>
          <w:szCs w:val="24"/>
          <w:u w:val="single"/>
        </w:rPr>
        <w:t>total</w:t>
      </w:r>
      <w:r w:rsidRPr="004F74B9">
        <w:rPr>
          <w:rFonts w:eastAsia="Calibri" w:cstheme="minorHAnsi"/>
          <w:sz w:val="24"/>
          <w:szCs w:val="24"/>
        </w:rPr>
        <w:t xml:space="preserve"> in the period 2016-2019 (see Appendix A for population data).</w:t>
      </w:r>
      <w:commentRangeEnd w:id="173"/>
      <w:r w:rsidRPr="0041791D">
        <w:rPr>
          <w:rFonts w:eastAsia="Calibri" w:cstheme="minorHAnsi"/>
          <w:sz w:val="24"/>
          <w:szCs w:val="24"/>
        </w:rPr>
        <w:commentReference w:id="173"/>
      </w:r>
    </w:p>
    <w:p w14:paraId="791AAB1C" w14:textId="7CA6B1C2" w:rsidR="006F646F" w:rsidRPr="0007732C" w:rsidRDefault="006F646F" w:rsidP="0007732C">
      <w:pPr>
        <w:numPr>
          <w:ilvl w:val="0"/>
          <w:numId w:val="8"/>
        </w:numPr>
        <w:spacing w:after="60"/>
        <w:ind w:left="1080"/>
        <w:rPr>
          <w:rFonts w:eastAsia="Calibri" w:cstheme="minorHAnsi"/>
          <w:sz w:val="24"/>
          <w:szCs w:val="24"/>
        </w:rPr>
      </w:pPr>
      <w:r w:rsidRPr="0041791D">
        <w:rPr>
          <w:rFonts w:eastAsia="Calibri" w:cstheme="minorHAnsi"/>
          <w:sz w:val="24"/>
          <w:szCs w:val="24"/>
        </w:rPr>
        <w:t xml:space="preserve">The slow downward trend in intake volume in the 2006-2010 period is explained by the franchisee as resulting from </w:t>
      </w:r>
      <w:commentRangeStart w:id="174"/>
      <w:r w:rsidRPr="0041791D">
        <w:rPr>
          <w:rFonts w:eastAsia="Calibri" w:cstheme="minorHAnsi"/>
          <w:sz w:val="24"/>
          <w:szCs w:val="24"/>
        </w:rPr>
        <w:t>the economic downturn of</w:t>
      </w:r>
      <w:commentRangeEnd w:id="174"/>
      <w:r w:rsidRPr="0041791D">
        <w:rPr>
          <w:rFonts w:eastAsia="Calibri" w:cstheme="minorHAnsi"/>
          <w:vanish/>
          <w:sz w:val="24"/>
          <w:szCs w:val="24"/>
        </w:rPr>
        <w:commentReference w:id="174"/>
      </w:r>
      <w:r w:rsidRPr="0041791D">
        <w:rPr>
          <w:rFonts w:eastAsia="Calibri" w:cstheme="minorHAnsi"/>
          <w:sz w:val="24"/>
          <w:szCs w:val="24"/>
        </w:rPr>
        <w:t xml:space="preserve"> </w:t>
      </w:r>
      <w:commentRangeStart w:id="175"/>
      <w:commentRangeStart w:id="176"/>
      <w:commentRangeStart w:id="177"/>
      <w:r w:rsidRPr="0041791D">
        <w:rPr>
          <w:rFonts w:eastAsia="Calibri" w:cstheme="minorHAnsi"/>
          <w:sz w:val="24"/>
          <w:szCs w:val="24"/>
        </w:rPr>
        <w:t>2008</w:t>
      </w:r>
      <w:commentRangeEnd w:id="175"/>
      <w:r w:rsidRPr="0041791D">
        <w:rPr>
          <w:rFonts w:eastAsia="Calibri" w:cstheme="minorHAnsi"/>
          <w:sz w:val="24"/>
          <w:szCs w:val="24"/>
        </w:rPr>
        <w:commentReference w:id="175"/>
      </w:r>
      <w:commentRangeEnd w:id="176"/>
      <w:r w:rsidRPr="0041791D">
        <w:rPr>
          <w:rFonts w:eastAsia="Calibri" w:cstheme="minorHAnsi"/>
          <w:sz w:val="24"/>
          <w:szCs w:val="24"/>
        </w:rPr>
        <w:commentReference w:id="176"/>
      </w:r>
      <w:commentRangeEnd w:id="177"/>
      <w:r w:rsidRPr="0041791D">
        <w:rPr>
          <w:rFonts w:eastAsia="Calibri" w:cstheme="minorHAnsi"/>
          <w:sz w:val="24"/>
          <w:szCs w:val="24"/>
        </w:rPr>
        <w:commentReference w:id="177"/>
      </w:r>
      <w:r w:rsidRPr="0041791D">
        <w:rPr>
          <w:rFonts w:eastAsia="Calibri" w:cstheme="minorHAnsi"/>
          <w:sz w:val="24"/>
          <w:szCs w:val="24"/>
        </w:rPr>
        <w:t>.</w:t>
      </w:r>
    </w:p>
    <w:p w14:paraId="0F234EE8" w14:textId="77777777" w:rsidR="006F646F" w:rsidRPr="00A43D61" w:rsidRDefault="006F646F" w:rsidP="006F646F">
      <w:pPr>
        <w:numPr>
          <w:ilvl w:val="0"/>
          <w:numId w:val="8"/>
        </w:numPr>
        <w:spacing w:after="60"/>
        <w:ind w:left="1080"/>
        <w:rPr>
          <w:rFonts w:eastAsia="Calibri" w:cstheme="minorHAnsi"/>
          <w:sz w:val="24"/>
          <w:szCs w:val="24"/>
        </w:rPr>
      </w:pPr>
      <w:r w:rsidRPr="0041791D">
        <w:rPr>
          <w:rFonts w:eastAsia="Calibri" w:cstheme="minorHAnsi"/>
          <w:sz w:val="24"/>
          <w:szCs w:val="24"/>
        </w:rPr>
        <w:t xml:space="preserve">The drop in volumes to Coffin Butte in 2020 is due to the global COVID-19 pandemic, coupled with diversion of tonnage from Riverbend Landfill to other landfills besides Coffin Butte. </w:t>
      </w:r>
      <w:commentRangeStart w:id="178"/>
      <w:commentRangeStart w:id="179"/>
      <w:r w:rsidRPr="00A43D61">
        <w:rPr>
          <w:rFonts w:eastAsia="Calibri" w:cstheme="minorHAnsi"/>
          <w:sz w:val="24"/>
          <w:szCs w:val="24"/>
        </w:rPr>
        <w:t xml:space="preserve">However, tonnage volumes increased again in 2021 due in part to changes in lifestyle/development/at home shopping patterns </w:t>
      </w:r>
      <w:proofErr w:type="gramStart"/>
      <w:r w:rsidRPr="00A43D61">
        <w:rPr>
          <w:rFonts w:eastAsia="Calibri" w:cstheme="minorHAnsi"/>
          <w:sz w:val="24"/>
          <w:szCs w:val="24"/>
        </w:rPr>
        <w:t>as a result of</w:t>
      </w:r>
      <w:proofErr w:type="gramEnd"/>
      <w:r w:rsidRPr="00A43D61">
        <w:rPr>
          <w:rFonts w:eastAsia="Calibri" w:cstheme="minorHAnsi"/>
          <w:sz w:val="24"/>
          <w:szCs w:val="24"/>
        </w:rPr>
        <w:t xml:space="preserve"> the pandemic, as well as debris from the Oregon wildfires.</w:t>
      </w:r>
      <w:commentRangeEnd w:id="178"/>
      <w:r w:rsidRPr="00A43D61">
        <w:rPr>
          <w:rFonts w:eastAsia="Calibri" w:cstheme="minorHAnsi"/>
          <w:sz w:val="24"/>
          <w:szCs w:val="24"/>
        </w:rPr>
        <w:commentReference w:id="178"/>
      </w:r>
      <w:commentRangeEnd w:id="179"/>
      <w:r w:rsidRPr="00A43D61">
        <w:rPr>
          <w:rFonts w:eastAsia="Calibri" w:cstheme="minorHAnsi"/>
          <w:sz w:val="24"/>
          <w:szCs w:val="24"/>
        </w:rPr>
        <w:commentReference w:id="179"/>
      </w:r>
      <w:r w:rsidRPr="00A43D61">
        <w:rPr>
          <w:rFonts w:eastAsia="Calibri" w:cstheme="minorHAnsi"/>
          <w:sz w:val="24"/>
          <w:szCs w:val="24"/>
        </w:rPr>
        <w:t xml:space="preserve"> </w:t>
      </w:r>
    </w:p>
    <w:p w14:paraId="5896DCE4" w14:textId="47D3359C" w:rsidR="006F646F" w:rsidRPr="0041791D" w:rsidRDefault="0007732C" w:rsidP="006F646F">
      <w:pPr>
        <w:numPr>
          <w:ilvl w:val="0"/>
          <w:numId w:val="8"/>
        </w:numPr>
        <w:spacing w:after="60"/>
        <w:ind w:left="1080"/>
        <w:rPr>
          <w:rFonts w:eastAsia="Calibri" w:cstheme="minorHAnsi"/>
          <w:sz w:val="24"/>
          <w:szCs w:val="24"/>
        </w:rPr>
      </w:pPr>
      <w:r>
        <w:rPr>
          <w:rFonts w:eastAsia="Calibri" w:cstheme="minorHAnsi"/>
          <w:sz w:val="24"/>
          <w:szCs w:val="24"/>
        </w:rPr>
        <w:t>T</w:t>
      </w:r>
      <w:r w:rsidRPr="0041791D">
        <w:rPr>
          <w:rFonts w:eastAsia="Calibri" w:cstheme="minorHAnsi"/>
          <w:sz w:val="24"/>
          <w:szCs w:val="24"/>
        </w:rPr>
        <w:t xml:space="preserve">he franchisee reported Coffin Butte </w:t>
      </w:r>
      <w:r>
        <w:rPr>
          <w:rFonts w:eastAsia="Calibri" w:cstheme="minorHAnsi"/>
          <w:sz w:val="24"/>
          <w:szCs w:val="24"/>
        </w:rPr>
        <w:t xml:space="preserve">Landfill </w:t>
      </w:r>
      <w:r w:rsidRPr="0041791D">
        <w:rPr>
          <w:rFonts w:eastAsia="Calibri" w:cstheme="minorHAnsi"/>
          <w:sz w:val="24"/>
          <w:szCs w:val="24"/>
        </w:rPr>
        <w:t xml:space="preserve">accepted </w:t>
      </w:r>
      <w:r w:rsidR="006F646F" w:rsidRPr="0041791D">
        <w:rPr>
          <w:rFonts w:eastAsia="Calibri" w:cstheme="minorHAnsi"/>
          <w:sz w:val="24"/>
          <w:szCs w:val="24"/>
        </w:rPr>
        <w:t xml:space="preserve">fire debris </w:t>
      </w:r>
      <w:r>
        <w:rPr>
          <w:rFonts w:eastAsia="Calibri" w:cstheme="minorHAnsi"/>
          <w:sz w:val="24"/>
          <w:szCs w:val="24"/>
        </w:rPr>
        <w:t xml:space="preserve">in 2021. </w:t>
      </w:r>
    </w:p>
    <w:p w14:paraId="2EA50307" w14:textId="77777777" w:rsidR="006F646F" w:rsidRPr="0041791D" w:rsidRDefault="006F646F" w:rsidP="006F646F">
      <w:pPr>
        <w:numPr>
          <w:ilvl w:val="0"/>
          <w:numId w:val="8"/>
        </w:numPr>
        <w:spacing w:after="60"/>
        <w:ind w:left="1080"/>
        <w:rPr>
          <w:rFonts w:eastAsia="Calibri" w:cstheme="minorHAnsi"/>
          <w:sz w:val="24"/>
          <w:szCs w:val="24"/>
        </w:rPr>
      </w:pPr>
      <w:r w:rsidRPr="0041791D">
        <w:rPr>
          <w:rFonts w:eastAsia="Calibri" w:cstheme="minorHAnsi"/>
          <w:sz w:val="24"/>
          <w:szCs w:val="24"/>
        </w:rPr>
        <w:t xml:space="preserve">Benton County received approximately </w:t>
      </w:r>
      <w:commentRangeStart w:id="180"/>
      <w:r w:rsidRPr="0041791D">
        <w:rPr>
          <w:rFonts w:eastAsia="Calibri" w:cstheme="minorHAnsi"/>
          <w:sz w:val="24"/>
          <w:szCs w:val="24"/>
        </w:rPr>
        <w:t>$3.1M</w:t>
      </w:r>
      <w:commentRangeEnd w:id="180"/>
      <w:r w:rsidRPr="0041791D">
        <w:rPr>
          <w:rFonts w:eastAsia="Calibri" w:cstheme="minorHAnsi"/>
          <w:sz w:val="24"/>
          <w:szCs w:val="24"/>
        </w:rPr>
        <w:commentReference w:id="180"/>
      </w:r>
      <w:r w:rsidRPr="0041791D">
        <w:rPr>
          <w:rFonts w:eastAsia="Calibri" w:cstheme="minorHAnsi"/>
          <w:sz w:val="24"/>
          <w:szCs w:val="24"/>
        </w:rPr>
        <w:t xml:space="preserve"> of incremental revenue from the increased intake volumes over the 2017-2019 period (approximately 450,000 additional Tons/year @ $2.31/Ton x 3 years).  Of this, approximately $1.08M was the result of volumes </w:t>
      </w:r>
      <w:proofErr w:type="gramStart"/>
      <w:r w:rsidRPr="0041791D">
        <w:rPr>
          <w:rFonts w:eastAsia="Calibri" w:cstheme="minorHAnsi"/>
          <w:sz w:val="24"/>
          <w:szCs w:val="24"/>
        </w:rPr>
        <w:t>in excess of</w:t>
      </w:r>
      <w:proofErr w:type="gramEnd"/>
      <w:r w:rsidRPr="0041791D">
        <w:rPr>
          <w:rFonts w:eastAsia="Calibri" w:cstheme="minorHAnsi"/>
          <w:sz w:val="24"/>
          <w:szCs w:val="24"/>
        </w:rPr>
        <w:t xml:space="preserve"> the intake </w:t>
      </w:r>
      <w:r>
        <w:rPr>
          <w:rFonts w:eastAsia="Calibri" w:cstheme="minorHAnsi"/>
          <w:sz w:val="24"/>
          <w:szCs w:val="24"/>
        </w:rPr>
        <w:t>threshold</w:t>
      </w:r>
      <w:r w:rsidRPr="0041791D">
        <w:rPr>
          <w:rFonts w:eastAsia="Calibri" w:cstheme="minorHAnsi"/>
          <w:sz w:val="24"/>
          <w:szCs w:val="24"/>
        </w:rPr>
        <w:t xml:space="preserve"> over the three-year period (see yearly overage figures in Appendix A; total = 466,479 Tons @2.31/Ton).  This equates to roughly $11.50 total per Benton County resident for the three-year period.</w:t>
      </w:r>
    </w:p>
    <w:p w14:paraId="2AFC195A" w14:textId="77777777" w:rsidR="006F646F" w:rsidRPr="0041791D" w:rsidRDefault="006F646F" w:rsidP="006F646F">
      <w:pPr>
        <w:numPr>
          <w:ilvl w:val="0"/>
          <w:numId w:val="8"/>
        </w:numPr>
        <w:spacing w:after="60"/>
        <w:ind w:left="1080"/>
        <w:rPr>
          <w:rFonts w:eastAsia="Calibri" w:cstheme="minorHAnsi"/>
          <w:sz w:val="24"/>
          <w:szCs w:val="24"/>
        </w:rPr>
      </w:pPr>
      <w:r w:rsidRPr="0041791D">
        <w:rPr>
          <w:rFonts w:eastAsia="Calibri" w:cstheme="minorHAnsi"/>
          <w:sz w:val="24"/>
          <w:szCs w:val="24"/>
        </w:rPr>
        <w:t>A clear understanding of the intent of language in the 2020 Franchise Agreement is necessary for a thorough interpretation of this document regarding questions such as the setting of the 1.1 M Tons/yr. intake limit relative to the expected life of the landfill over the term of the agreement, the proper interpretation of the “Tonnage Cap” term, stipulations that bear on questions of allowed intake capacity relative to expected landfill life, and the parties’ expectations of landfill expansion.  To that end, release by Benton County of all available public records related to the negotiation of this agreement is necessary for proper consideration of these issues by this subcommittee and the larger workgroup.</w:t>
      </w:r>
    </w:p>
    <w:p w14:paraId="2465489F" w14:textId="77777777" w:rsidR="006F646F" w:rsidRPr="0041791D" w:rsidRDefault="006F646F" w:rsidP="006F646F">
      <w:pPr>
        <w:spacing w:after="60"/>
        <w:rPr>
          <w:rFonts w:eastAsia="Calibri" w:cstheme="minorHAnsi"/>
          <w:sz w:val="24"/>
          <w:szCs w:val="24"/>
        </w:rPr>
      </w:pPr>
    </w:p>
    <w:p w14:paraId="5C9FB4B5" w14:textId="77777777" w:rsidR="006F646F" w:rsidRPr="0041791D" w:rsidRDefault="006F646F" w:rsidP="006F646F">
      <w:pPr>
        <w:spacing w:after="60"/>
        <w:rPr>
          <w:rFonts w:eastAsia="Calibri" w:cstheme="minorHAnsi"/>
          <w:sz w:val="24"/>
          <w:szCs w:val="24"/>
        </w:rPr>
      </w:pPr>
    </w:p>
    <w:p w14:paraId="75E45F63" w14:textId="77777777" w:rsidR="006F646F" w:rsidRPr="0041791D" w:rsidRDefault="006F646F" w:rsidP="006F646F">
      <w:pPr>
        <w:keepNext/>
        <w:keepLines/>
        <w:numPr>
          <w:ilvl w:val="0"/>
          <w:numId w:val="24"/>
        </w:numPr>
        <w:spacing w:after="240" w:line="240" w:lineRule="auto"/>
        <w:outlineLvl w:val="2"/>
        <w:rPr>
          <w:rFonts w:eastAsia="Times New Roman" w:cstheme="minorHAnsi"/>
          <w:b/>
          <w:bCs/>
          <w:sz w:val="24"/>
          <w:szCs w:val="24"/>
        </w:rPr>
      </w:pPr>
      <w:bookmarkStart w:id="181" w:name="_Toc128666885"/>
      <w:bookmarkStart w:id="182" w:name="_Toc129256718"/>
      <w:r w:rsidRPr="0041791D">
        <w:rPr>
          <w:rFonts w:eastAsia="Times New Roman" w:cstheme="minorHAnsi"/>
          <w:b/>
          <w:bCs/>
          <w:sz w:val="24"/>
          <w:szCs w:val="24"/>
        </w:rPr>
        <w:t>Intake volume by source 2016 – 2021</w:t>
      </w:r>
      <w:bookmarkEnd w:id="181"/>
      <w:bookmarkEnd w:id="182"/>
    </w:p>
    <w:p w14:paraId="552C5EC9" w14:textId="77777777" w:rsidR="006F646F" w:rsidRPr="0041791D" w:rsidRDefault="006F646F" w:rsidP="006F646F">
      <w:pPr>
        <w:ind w:left="360"/>
        <w:rPr>
          <w:rFonts w:eastAsia="Calibri" w:cstheme="minorHAnsi"/>
          <w:color w:val="FF0000"/>
          <w:sz w:val="24"/>
          <w:szCs w:val="24"/>
        </w:rPr>
      </w:pPr>
      <w:r w:rsidRPr="0041791D">
        <w:rPr>
          <w:rFonts w:eastAsia="Calibri" w:cstheme="minorHAnsi"/>
          <w:sz w:val="24"/>
          <w:szCs w:val="24"/>
        </w:rPr>
        <w:t>See</w:t>
      </w:r>
      <w:r w:rsidRPr="0041791D">
        <w:rPr>
          <w:rFonts w:eastAsia="Calibri" w:cstheme="minorHAnsi"/>
          <w:i/>
          <w:sz w:val="24"/>
          <w:szCs w:val="24"/>
        </w:rPr>
        <w:t xml:space="preserve"> </w:t>
      </w:r>
      <w:r w:rsidRPr="0041791D">
        <w:rPr>
          <w:rFonts w:eastAsia="Calibri" w:cstheme="minorHAnsi"/>
          <w:sz w:val="24"/>
          <w:szCs w:val="24"/>
        </w:rPr>
        <w:t>chart below for a breakdown of the Coffin Butte intake by source county for the period 2013-2021.  This period includes the significant intake volume increase of 2016-2017.</w:t>
      </w:r>
    </w:p>
    <w:p w14:paraId="223D2EBF" w14:textId="77777777" w:rsidR="006F646F" w:rsidRPr="0041791D" w:rsidRDefault="006F646F" w:rsidP="006F646F">
      <w:pPr>
        <w:keepNext/>
        <w:spacing w:line="240" w:lineRule="auto"/>
        <w:jc w:val="center"/>
        <w:rPr>
          <w:rFonts w:eastAsia="MS Mincho" w:cstheme="minorHAnsi"/>
          <w:b/>
          <w:bCs/>
          <w:color w:val="595959"/>
          <w:sz w:val="24"/>
          <w:szCs w:val="24"/>
        </w:rPr>
      </w:pPr>
      <w:r w:rsidRPr="0041791D">
        <w:rPr>
          <w:rFonts w:eastAsia="MS Mincho" w:cstheme="minorHAnsi"/>
          <w:b/>
          <w:bCs/>
          <w:color w:val="595959"/>
          <w:sz w:val="24"/>
          <w:szCs w:val="24"/>
        </w:rPr>
        <w:t xml:space="preserve">Figure </w:t>
      </w:r>
      <w:r>
        <w:rPr>
          <w:rFonts w:eastAsia="MS Mincho" w:cstheme="minorHAnsi"/>
          <w:b/>
          <w:bCs/>
          <w:color w:val="595959"/>
          <w:sz w:val="24"/>
          <w:szCs w:val="24"/>
        </w:rPr>
        <w:fldChar w:fldCharType="begin"/>
      </w:r>
      <w:r>
        <w:rPr>
          <w:rFonts w:eastAsia="MS Mincho" w:cstheme="minorHAnsi"/>
          <w:b/>
          <w:bCs/>
          <w:color w:val="595959"/>
          <w:sz w:val="24"/>
          <w:szCs w:val="24"/>
        </w:rPr>
        <w:instrText xml:space="preserve"> SEQ Figure \* ARABIC </w:instrText>
      </w:r>
      <w:r>
        <w:rPr>
          <w:rFonts w:eastAsia="MS Mincho" w:cstheme="minorHAnsi"/>
          <w:b/>
          <w:bCs/>
          <w:color w:val="595959"/>
          <w:sz w:val="24"/>
          <w:szCs w:val="24"/>
        </w:rPr>
        <w:fldChar w:fldCharType="separate"/>
      </w:r>
      <w:r>
        <w:rPr>
          <w:rFonts w:eastAsia="MS Mincho" w:cstheme="minorHAnsi"/>
          <w:b/>
          <w:bCs/>
          <w:noProof/>
          <w:color w:val="595959"/>
          <w:sz w:val="24"/>
          <w:szCs w:val="24"/>
        </w:rPr>
        <w:t>16</w:t>
      </w:r>
      <w:r>
        <w:rPr>
          <w:rFonts w:eastAsia="MS Mincho" w:cstheme="minorHAnsi"/>
          <w:b/>
          <w:bCs/>
          <w:color w:val="595959"/>
          <w:sz w:val="24"/>
          <w:szCs w:val="24"/>
        </w:rPr>
        <w:fldChar w:fldCharType="end"/>
      </w:r>
      <w:r w:rsidRPr="0041791D">
        <w:rPr>
          <w:rFonts w:eastAsia="MS Mincho" w:cstheme="minorHAnsi"/>
          <w:b/>
          <w:bCs/>
          <w:color w:val="595959"/>
          <w:sz w:val="24"/>
          <w:szCs w:val="24"/>
        </w:rPr>
        <w:t xml:space="preserve">: </w:t>
      </w:r>
      <w:r w:rsidRPr="0041791D">
        <w:rPr>
          <w:rFonts w:eastAsia="Calibri" w:cstheme="minorHAnsi"/>
          <w:b/>
          <w:bCs/>
          <w:color w:val="595959"/>
          <w:sz w:val="24"/>
          <w:szCs w:val="24"/>
        </w:rPr>
        <w:t>Intake by Source, 2013 - 2021</w:t>
      </w:r>
    </w:p>
    <w:p w14:paraId="2037142E" w14:textId="77777777" w:rsidR="006F646F" w:rsidRPr="0041791D" w:rsidRDefault="006F646F" w:rsidP="006F646F">
      <w:pPr>
        <w:ind w:left="360"/>
        <w:rPr>
          <w:rFonts w:eastAsia="Calibri" w:cstheme="minorHAnsi"/>
          <w:i/>
          <w:color w:val="FF0000"/>
          <w:sz w:val="24"/>
          <w:szCs w:val="24"/>
        </w:rPr>
      </w:pPr>
      <w:r w:rsidRPr="0041791D">
        <w:rPr>
          <w:rFonts w:eastAsia="Calibri" w:cstheme="minorHAnsi"/>
          <w:noProof/>
          <w:sz w:val="24"/>
          <w:szCs w:val="24"/>
        </w:rPr>
        <w:drawing>
          <wp:inline distT="0" distB="0" distL="0" distR="0" wp14:anchorId="3C0E4737" wp14:editId="0ACECB12">
            <wp:extent cx="5943600" cy="4886325"/>
            <wp:effectExtent l="0" t="0" r="0" b="9525"/>
            <wp:docPr id="250361767" name="Chart 250361767">
              <a:extLst xmlns:a="http://schemas.openxmlformats.org/drawingml/2006/main">
                <a:ext uri="{FF2B5EF4-FFF2-40B4-BE49-F238E27FC236}">
                  <a16:creationId xmlns:a16="http://schemas.microsoft.com/office/drawing/2014/main" id="{C9362E8A-5A75-4CAC-8A57-523D0CEF50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C0DE46D" w14:textId="77777777" w:rsidR="006F646F" w:rsidRPr="0041791D" w:rsidRDefault="006F646F" w:rsidP="006F646F">
      <w:pPr>
        <w:rPr>
          <w:rFonts w:eastAsia="Calibri" w:cstheme="minorHAnsi"/>
          <w:i/>
          <w:color w:val="FF0000"/>
          <w:sz w:val="24"/>
          <w:szCs w:val="24"/>
        </w:rPr>
      </w:pPr>
    </w:p>
    <w:p w14:paraId="3C0120E2" w14:textId="77777777" w:rsidR="006F646F" w:rsidRPr="0041791D" w:rsidRDefault="006F646F" w:rsidP="006F646F">
      <w:pPr>
        <w:keepNext/>
        <w:keepLines/>
        <w:spacing w:before="120" w:after="120"/>
        <w:outlineLvl w:val="2"/>
        <w:rPr>
          <w:rFonts w:eastAsia="Times New Roman" w:cstheme="minorHAnsi"/>
          <w:b/>
          <w:bCs/>
          <w:sz w:val="24"/>
          <w:szCs w:val="24"/>
        </w:rPr>
      </w:pPr>
      <w:bookmarkStart w:id="183" w:name="_Toc128666886"/>
      <w:bookmarkStart w:id="184" w:name="_Toc129256719"/>
      <w:r w:rsidRPr="0041791D">
        <w:rPr>
          <w:rFonts w:eastAsia="Times New Roman" w:cstheme="minorHAnsi"/>
          <w:b/>
          <w:bCs/>
          <w:sz w:val="24"/>
          <w:szCs w:val="24"/>
        </w:rPr>
        <w:t>Long-term intake volume TBD – 2021</w:t>
      </w:r>
      <w:bookmarkEnd w:id="183"/>
      <w:bookmarkEnd w:id="184"/>
    </w:p>
    <w:p w14:paraId="7258EC79" w14:textId="77777777" w:rsidR="006F646F" w:rsidRPr="0041791D" w:rsidRDefault="006F646F" w:rsidP="006F646F">
      <w:pPr>
        <w:pStyle w:val="Heading3"/>
        <w:numPr>
          <w:ilvl w:val="0"/>
          <w:numId w:val="31"/>
        </w:numPr>
        <w:rPr>
          <w:rFonts w:asciiTheme="minorHAnsi" w:hAnsiTheme="minorHAnsi" w:cstheme="minorHAnsi"/>
        </w:rPr>
      </w:pPr>
      <w:bookmarkStart w:id="185" w:name="_Toc128666887"/>
      <w:bookmarkStart w:id="186" w:name="_Toc129256720"/>
      <w:r w:rsidRPr="0041791D">
        <w:rPr>
          <w:rFonts w:asciiTheme="minorHAnsi" w:hAnsiTheme="minorHAnsi" w:cstheme="minorHAnsi"/>
        </w:rPr>
        <w:t>Landfill Structure</w:t>
      </w:r>
      <w:bookmarkEnd w:id="185"/>
      <w:bookmarkEnd w:id="186"/>
    </w:p>
    <w:p w14:paraId="5874CD26" w14:textId="77777777" w:rsidR="006F646F" w:rsidRPr="0041791D" w:rsidRDefault="006F646F" w:rsidP="006F646F">
      <w:pPr>
        <w:keepNext/>
        <w:keepLines/>
        <w:numPr>
          <w:ilvl w:val="0"/>
          <w:numId w:val="7"/>
        </w:numPr>
        <w:spacing w:after="240" w:line="240" w:lineRule="auto"/>
        <w:ind w:hanging="180"/>
        <w:outlineLvl w:val="2"/>
        <w:rPr>
          <w:rFonts w:eastAsia="Times New Roman" w:cstheme="minorHAnsi"/>
          <w:b/>
          <w:bCs/>
          <w:sz w:val="24"/>
          <w:szCs w:val="24"/>
        </w:rPr>
      </w:pPr>
      <w:bookmarkStart w:id="187" w:name="_Toc128666888"/>
      <w:bookmarkStart w:id="188" w:name="_Toc129256721"/>
      <w:r w:rsidRPr="0041791D">
        <w:rPr>
          <w:rFonts w:eastAsia="Times New Roman" w:cstheme="minorHAnsi"/>
          <w:b/>
          <w:bCs/>
          <w:sz w:val="24"/>
          <w:szCs w:val="24"/>
        </w:rPr>
        <w:t>Overview</w:t>
      </w:r>
      <w:bookmarkEnd w:id="187"/>
      <w:bookmarkEnd w:id="188"/>
    </w:p>
    <w:p w14:paraId="13EF19ED" w14:textId="77777777" w:rsidR="006F646F" w:rsidRPr="00143E5C" w:rsidRDefault="006F646F" w:rsidP="006F646F">
      <w:pPr>
        <w:ind w:left="360"/>
        <w:rPr>
          <w:rFonts w:eastAsia="Calibri" w:cstheme="minorHAnsi"/>
          <w:sz w:val="24"/>
          <w:szCs w:val="24"/>
        </w:rPr>
      </w:pPr>
      <w:r w:rsidRPr="0041791D">
        <w:rPr>
          <w:rFonts w:eastAsia="Calibri" w:cstheme="minorHAnsi"/>
          <w:sz w:val="24"/>
          <w:szCs w:val="24"/>
        </w:rPr>
        <w:t xml:space="preserve">The disposal area and surrounding lots are shown in </w:t>
      </w:r>
      <w:r w:rsidRPr="0041791D">
        <w:rPr>
          <w:rFonts w:eastAsia="Calibri" w:cstheme="minorHAnsi"/>
          <w:sz w:val="24"/>
          <w:szCs w:val="24"/>
        </w:rPr>
        <w:fldChar w:fldCharType="begin"/>
      </w:r>
      <w:r w:rsidRPr="0041791D">
        <w:rPr>
          <w:rFonts w:eastAsia="Calibri" w:cstheme="minorHAnsi"/>
          <w:sz w:val="24"/>
          <w:szCs w:val="24"/>
        </w:rPr>
        <w:instrText xml:space="preserve"> REF _Ref124409891 \h  \* MERGEFORMAT </w:instrText>
      </w:r>
      <w:r w:rsidRPr="0041791D">
        <w:rPr>
          <w:rFonts w:eastAsia="Calibri" w:cstheme="minorHAnsi"/>
          <w:sz w:val="24"/>
          <w:szCs w:val="24"/>
        </w:rPr>
      </w:r>
      <w:r w:rsidRPr="0041791D">
        <w:rPr>
          <w:rFonts w:eastAsia="Calibri" w:cstheme="minorHAnsi"/>
          <w:sz w:val="24"/>
          <w:szCs w:val="24"/>
        </w:rPr>
        <w:fldChar w:fldCharType="separate"/>
      </w:r>
      <w:r w:rsidRPr="00AA76A5">
        <w:rPr>
          <w:rFonts w:eastAsia="Calibri" w:cstheme="minorHAnsi"/>
          <w:sz w:val="24"/>
          <w:szCs w:val="24"/>
          <w:highlight w:val="yellow"/>
        </w:rPr>
        <w:t xml:space="preserve">Figure </w:t>
      </w:r>
      <w:r w:rsidRPr="00AA76A5">
        <w:rPr>
          <w:rFonts w:eastAsia="Calibri" w:cstheme="minorHAnsi"/>
          <w:noProof/>
          <w:sz w:val="24"/>
          <w:szCs w:val="24"/>
          <w:highlight w:val="yellow"/>
        </w:rPr>
        <w:t>6</w:t>
      </w:r>
      <w:r w:rsidRPr="0041791D">
        <w:rPr>
          <w:rFonts w:eastAsia="Calibri" w:cstheme="minorHAnsi"/>
          <w:noProof/>
          <w:sz w:val="24"/>
          <w:szCs w:val="24"/>
        </w:rPr>
        <w:t>: Property and Cell Structure Overview, 2021 Site Development Plan</w:t>
      </w:r>
      <w:r w:rsidRPr="0041791D">
        <w:rPr>
          <w:rFonts w:eastAsia="Calibri" w:cstheme="minorHAnsi"/>
          <w:sz w:val="24"/>
          <w:szCs w:val="24"/>
        </w:rPr>
        <w:fldChar w:fldCharType="end"/>
      </w:r>
      <w:r w:rsidRPr="0041791D">
        <w:rPr>
          <w:rFonts w:eastAsia="Calibri" w:cstheme="minorHAnsi"/>
          <w:sz w:val="24"/>
          <w:szCs w:val="24"/>
        </w:rPr>
        <w:t xml:space="preserve"> below.  This drawing is reproduced from the 2021 Site Development Plan, Appendix A, Drawing No. G03, and is reproduced here for convenience.</w:t>
      </w:r>
      <w:bookmarkStart w:id="189" w:name="_Toc128666889"/>
    </w:p>
    <w:p w14:paraId="56C25AE2" w14:textId="77777777" w:rsidR="006F646F" w:rsidRPr="0041791D" w:rsidRDefault="006F646F" w:rsidP="006F646F">
      <w:pPr>
        <w:keepNext/>
        <w:keepLines/>
        <w:numPr>
          <w:ilvl w:val="0"/>
          <w:numId w:val="7"/>
        </w:numPr>
        <w:spacing w:after="240" w:line="240" w:lineRule="auto"/>
        <w:ind w:hanging="180"/>
        <w:outlineLvl w:val="2"/>
        <w:rPr>
          <w:rFonts w:eastAsia="Times New Roman" w:cstheme="minorHAnsi"/>
          <w:b/>
          <w:bCs/>
          <w:sz w:val="24"/>
          <w:szCs w:val="24"/>
        </w:rPr>
      </w:pPr>
      <w:bookmarkStart w:id="190" w:name="_Toc129256722"/>
      <w:r w:rsidRPr="0041791D">
        <w:rPr>
          <w:rFonts w:eastAsia="Times New Roman" w:cstheme="minorHAnsi"/>
          <w:b/>
          <w:bCs/>
          <w:sz w:val="24"/>
          <w:szCs w:val="24"/>
        </w:rPr>
        <w:t>Cell detail</w:t>
      </w:r>
      <w:bookmarkEnd w:id="189"/>
      <w:bookmarkEnd w:id="190"/>
    </w:p>
    <w:p w14:paraId="79257C5F" w14:textId="77777777" w:rsidR="006F646F" w:rsidRPr="0041791D" w:rsidRDefault="006F646F" w:rsidP="006F646F">
      <w:pPr>
        <w:spacing w:after="240" w:line="240" w:lineRule="auto"/>
        <w:ind w:left="360"/>
        <w:rPr>
          <w:rFonts w:eastAsia="Calibri" w:cstheme="minorHAnsi"/>
          <w:sz w:val="24"/>
          <w:szCs w:val="24"/>
        </w:rPr>
      </w:pPr>
      <w:r w:rsidRPr="0041791D">
        <w:rPr>
          <w:rFonts w:eastAsia="Calibri" w:cstheme="minorHAnsi"/>
          <w:sz w:val="24"/>
          <w:szCs w:val="24"/>
        </w:rPr>
        <w:t xml:space="preserve">Detail on individual disposal cells and the active </w:t>
      </w:r>
      <w:proofErr w:type="gramStart"/>
      <w:r w:rsidRPr="0041791D">
        <w:rPr>
          <w:rFonts w:eastAsia="Calibri" w:cstheme="minorHAnsi"/>
          <w:sz w:val="24"/>
          <w:szCs w:val="24"/>
        </w:rPr>
        <w:t>dates</w:t>
      </w:r>
      <w:proofErr w:type="gramEnd"/>
      <w:r w:rsidRPr="0041791D">
        <w:rPr>
          <w:rFonts w:eastAsia="Calibri" w:cstheme="minorHAnsi"/>
          <w:sz w:val="24"/>
          <w:szCs w:val="24"/>
        </w:rPr>
        <w:t xml:space="preserve"> for these cells is shown in </w:t>
      </w:r>
      <w:r w:rsidRPr="0041791D">
        <w:rPr>
          <w:rFonts w:eastAsia="Calibri" w:cstheme="minorHAnsi"/>
          <w:sz w:val="24"/>
          <w:szCs w:val="24"/>
        </w:rPr>
        <w:fldChar w:fldCharType="begin"/>
      </w:r>
      <w:r w:rsidRPr="0041791D">
        <w:rPr>
          <w:rFonts w:eastAsia="Calibri" w:cstheme="minorHAnsi"/>
          <w:sz w:val="24"/>
          <w:szCs w:val="24"/>
        </w:rPr>
        <w:instrText xml:space="preserve"> REF _Ref124409911 \h  \* MERGEFORMAT </w:instrText>
      </w:r>
      <w:r w:rsidRPr="0041791D">
        <w:rPr>
          <w:rFonts w:eastAsia="Calibri" w:cstheme="minorHAnsi"/>
          <w:sz w:val="24"/>
          <w:szCs w:val="24"/>
        </w:rPr>
      </w:r>
      <w:r w:rsidRPr="0041791D">
        <w:rPr>
          <w:rFonts w:eastAsia="Calibri" w:cstheme="minorHAnsi"/>
          <w:sz w:val="24"/>
          <w:szCs w:val="24"/>
        </w:rPr>
        <w:fldChar w:fldCharType="separate"/>
      </w:r>
      <w:r w:rsidRPr="00AA76A5">
        <w:rPr>
          <w:rFonts w:eastAsia="Calibri" w:cstheme="minorHAnsi"/>
          <w:sz w:val="24"/>
          <w:szCs w:val="24"/>
          <w:highlight w:val="yellow"/>
        </w:rPr>
        <w:t>Figure 7</w:t>
      </w:r>
      <w:r w:rsidRPr="0041791D">
        <w:rPr>
          <w:rFonts w:eastAsia="Calibri" w:cstheme="minorHAnsi"/>
          <w:sz w:val="24"/>
          <w:szCs w:val="24"/>
        </w:rPr>
        <w:t>: Cell Structure Detail with Cell Activation Dates</w:t>
      </w:r>
      <w:r w:rsidRPr="0041791D">
        <w:rPr>
          <w:rFonts w:eastAsia="Calibri" w:cstheme="minorHAnsi"/>
          <w:sz w:val="24"/>
          <w:szCs w:val="24"/>
        </w:rPr>
        <w:fldChar w:fldCharType="end"/>
      </w:r>
      <w:r w:rsidRPr="0041791D">
        <w:rPr>
          <w:rFonts w:eastAsia="Calibri" w:cstheme="minorHAnsi"/>
          <w:sz w:val="24"/>
          <w:szCs w:val="24"/>
        </w:rPr>
        <w:t xml:space="preserve"> below.   Dates are summarized in the following table.</w:t>
      </w:r>
    </w:p>
    <w:p w14:paraId="2E213469" w14:textId="77777777" w:rsidR="006F646F" w:rsidRPr="0041791D" w:rsidRDefault="006F646F" w:rsidP="006F646F">
      <w:pPr>
        <w:rPr>
          <w:rFonts w:eastAsia="Calibri" w:cstheme="minorHAnsi"/>
          <w:sz w:val="24"/>
          <w:szCs w:val="24"/>
        </w:rPr>
      </w:pPr>
    </w:p>
    <w:p w14:paraId="4AE46933" w14:textId="77777777" w:rsidR="006F646F" w:rsidRPr="0041791D" w:rsidRDefault="006F646F" w:rsidP="006F646F">
      <w:pPr>
        <w:keepNext/>
        <w:spacing w:line="240" w:lineRule="auto"/>
        <w:jc w:val="center"/>
        <w:rPr>
          <w:rFonts w:eastAsia="MS Mincho" w:cstheme="minorHAnsi"/>
          <w:b/>
          <w:bCs/>
          <w:color w:val="595959"/>
          <w:sz w:val="24"/>
          <w:szCs w:val="24"/>
        </w:rPr>
      </w:pPr>
      <w:r w:rsidRPr="0041791D">
        <w:rPr>
          <w:rFonts w:eastAsia="MS Mincho" w:cstheme="minorHAnsi"/>
          <w:b/>
          <w:bCs/>
          <w:color w:val="595959"/>
          <w:sz w:val="24"/>
          <w:szCs w:val="24"/>
        </w:rPr>
        <w:t xml:space="preserve">Table </w:t>
      </w:r>
      <w:r w:rsidRPr="0041791D">
        <w:rPr>
          <w:rFonts w:eastAsia="MS Mincho" w:cstheme="minorHAnsi"/>
          <w:b/>
          <w:bCs/>
          <w:color w:val="595959"/>
          <w:sz w:val="24"/>
          <w:szCs w:val="24"/>
        </w:rPr>
        <w:fldChar w:fldCharType="begin"/>
      </w:r>
      <w:r w:rsidRPr="0041791D">
        <w:rPr>
          <w:rFonts w:eastAsia="MS Mincho" w:cstheme="minorHAnsi"/>
          <w:b/>
          <w:bCs/>
          <w:color w:val="595959"/>
          <w:sz w:val="24"/>
          <w:szCs w:val="24"/>
        </w:rPr>
        <w:instrText xml:space="preserve"> SEQ Table \* ARABIC </w:instrText>
      </w:r>
      <w:r w:rsidRPr="0041791D">
        <w:rPr>
          <w:rFonts w:eastAsia="MS Mincho" w:cstheme="minorHAnsi"/>
          <w:b/>
          <w:bCs/>
          <w:color w:val="595959"/>
          <w:sz w:val="24"/>
          <w:szCs w:val="24"/>
        </w:rPr>
        <w:fldChar w:fldCharType="separate"/>
      </w:r>
      <w:r w:rsidRPr="0041791D">
        <w:rPr>
          <w:rFonts w:eastAsia="MS Mincho" w:cstheme="minorHAnsi"/>
          <w:b/>
          <w:bCs/>
          <w:noProof/>
          <w:color w:val="595959"/>
          <w:sz w:val="24"/>
          <w:szCs w:val="24"/>
        </w:rPr>
        <w:t>3</w:t>
      </w:r>
      <w:r w:rsidRPr="0041791D">
        <w:rPr>
          <w:rFonts w:eastAsia="MS Mincho" w:cstheme="minorHAnsi"/>
          <w:b/>
          <w:bCs/>
          <w:color w:val="595959"/>
          <w:sz w:val="24"/>
          <w:szCs w:val="24"/>
        </w:rPr>
        <w:fldChar w:fldCharType="end"/>
      </w:r>
      <w:r w:rsidRPr="0041791D">
        <w:rPr>
          <w:rFonts w:eastAsia="MS Mincho" w:cstheme="minorHAnsi"/>
          <w:b/>
          <w:bCs/>
          <w:color w:val="595959"/>
          <w:sz w:val="24"/>
          <w:szCs w:val="24"/>
        </w:rPr>
        <w:t xml:space="preserve">: </w:t>
      </w:r>
      <w:r w:rsidRPr="0041791D">
        <w:rPr>
          <w:rFonts w:eastAsia="Calibri" w:cstheme="minorHAnsi"/>
          <w:b/>
          <w:bCs/>
          <w:color w:val="595959"/>
          <w:sz w:val="24"/>
          <w:szCs w:val="24"/>
        </w:rPr>
        <w:t>Cell Open/Closed Detail</w:t>
      </w:r>
    </w:p>
    <w:tbl>
      <w:tblPr>
        <w:tblStyle w:val="TableGrid3"/>
        <w:tblW w:w="0" w:type="auto"/>
        <w:tblInd w:w="360" w:type="dxa"/>
        <w:tblBorders>
          <w:left w:val="single" w:sz="12" w:space="0" w:color="auto"/>
          <w:bottom w:val="single" w:sz="12" w:space="0" w:color="auto"/>
          <w:right w:val="single" w:sz="12" w:space="0" w:color="auto"/>
        </w:tblBorders>
        <w:tblLook w:val="04A0" w:firstRow="1" w:lastRow="0" w:firstColumn="1" w:lastColumn="0" w:noHBand="0" w:noVBand="1"/>
      </w:tblPr>
      <w:tblGrid>
        <w:gridCol w:w="2996"/>
        <w:gridCol w:w="2489"/>
        <w:gridCol w:w="3314"/>
      </w:tblGrid>
      <w:tr w:rsidR="006F646F" w:rsidRPr="0041791D" w14:paraId="42B3D6C7" w14:textId="77777777" w:rsidTr="00F60A30">
        <w:trPr>
          <w:trHeight w:val="288"/>
        </w:trPr>
        <w:tc>
          <w:tcPr>
            <w:tcW w:w="2996" w:type="dxa"/>
            <w:tcBorders>
              <w:top w:val="single" w:sz="12" w:space="0" w:color="auto"/>
              <w:bottom w:val="single" w:sz="12" w:space="0" w:color="auto"/>
            </w:tcBorders>
            <w:vAlign w:val="center"/>
          </w:tcPr>
          <w:p w14:paraId="37A4A730" w14:textId="77777777" w:rsidR="006F646F" w:rsidRPr="0041791D" w:rsidRDefault="006F646F" w:rsidP="00CD02A5">
            <w:pPr>
              <w:jc w:val="center"/>
              <w:rPr>
                <w:rFonts w:asciiTheme="minorHAnsi" w:eastAsia="Calibri" w:hAnsiTheme="minorHAnsi" w:cstheme="minorHAnsi"/>
                <w:b/>
                <w:sz w:val="24"/>
                <w:szCs w:val="24"/>
              </w:rPr>
            </w:pPr>
            <w:commentRangeStart w:id="191"/>
            <w:commentRangeStart w:id="192"/>
            <w:r w:rsidRPr="0041791D">
              <w:rPr>
                <w:rFonts w:asciiTheme="minorHAnsi" w:eastAsia="Calibri" w:hAnsiTheme="minorHAnsi" w:cstheme="minorHAnsi"/>
                <w:b/>
                <w:sz w:val="24"/>
                <w:szCs w:val="24"/>
              </w:rPr>
              <w:t>Area</w:t>
            </w:r>
          </w:p>
        </w:tc>
        <w:tc>
          <w:tcPr>
            <w:tcW w:w="2489" w:type="dxa"/>
            <w:tcBorders>
              <w:top w:val="single" w:sz="12" w:space="0" w:color="auto"/>
              <w:bottom w:val="single" w:sz="12" w:space="0" w:color="auto"/>
            </w:tcBorders>
            <w:vAlign w:val="center"/>
          </w:tcPr>
          <w:p w14:paraId="42AEB83A" w14:textId="77777777" w:rsidR="006F646F" w:rsidRPr="0041791D" w:rsidRDefault="006F646F" w:rsidP="00CD02A5">
            <w:pPr>
              <w:jc w:val="center"/>
              <w:rPr>
                <w:rFonts w:asciiTheme="minorHAnsi" w:eastAsia="Calibri" w:hAnsiTheme="minorHAnsi" w:cstheme="minorHAnsi"/>
                <w:b/>
                <w:sz w:val="24"/>
                <w:szCs w:val="24"/>
              </w:rPr>
            </w:pPr>
            <w:r w:rsidRPr="0041791D">
              <w:rPr>
                <w:rFonts w:asciiTheme="minorHAnsi" w:eastAsia="Calibri" w:hAnsiTheme="minorHAnsi" w:cstheme="minorHAnsi"/>
                <w:b/>
                <w:sz w:val="24"/>
                <w:szCs w:val="24"/>
              </w:rPr>
              <w:t>Date Opened</w:t>
            </w:r>
          </w:p>
        </w:tc>
        <w:tc>
          <w:tcPr>
            <w:tcW w:w="3314" w:type="dxa"/>
            <w:tcBorders>
              <w:top w:val="single" w:sz="12" w:space="0" w:color="auto"/>
              <w:bottom w:val="single" w:sz="12" w:space="0" w:color="auto"/>
            </w:tcBorders>
            <w:shd w:val="clear" w:color="auto" w:fill="auto"/>
            <w:vAlign w:val="center"/>
          </w:tcPr>
          <w:p w14:paraId="43DE501A" w14:textId="77777777" w:rsidR="006F646F" w:rsidRPr="00F60A30" w:rsidRDefault="006F646F" w:rsidP="00CD02A5">
            <w:pPr>
              <w:jc w:val="center"/>
              <w:rPr>
                <w:rFonts w:asciiTheme="minorHAnsi" w:eastAsia="Calibri" w:hAnsiTheme="minorHAnsi" w:cstheme="minorHAnsi"/>
                <w:b/>
                <w:sz w:val="24"/>
                <w:szCs w:val="24"/>
              </w:rPr>
            </w:pPr>
            <w:r w:rsidRPr="00F60A30">
              <w:rPr>
                <w:rFonts w:asciiTheme="minorHAnsi" w:eastAsia="Calibri" w:hAnsiTheme="minorHAnsi" w:cstheme="minorHAnsi"/>
                <w:b/>
                <w:sz w:val="24"/>
                <w:szCs w:val="24"/>
              </w:rPr>
              <w:t>Date Capped/Closed</w:t>
            </w:r>
            <w:commentRangeEnd w:id="191"/>
            <w:r w:rsidRPr="00F60A30">
              <w:rPr>
                <w:rFonts w:asciiTheme="minorHAnsi" w:eastAsia="Calibri" w:hAnsiTheme="minorHAnsi" w:cstheme="minorHAnsi"/>
                <w:sz w:val="24"/>
                <w:szCs w:val="24"/>
              </w:rPr>
              <w:commentReference w:id="191"/>
            </w:r>
            <w:r w:rsidRPr="00F60A30">
              <w:rPr>
                <w:rFonts w:asciiTheme="minorHAnsi" w:eastAsia="Calibri" w:hAnsiTheme="minorHAnsi" w:cstheme="minorHAnsi"/>
                <w:sz w:val="24"/>
                <w:szCs w:val="24"/>
              </w:rPr>
              <w:commentReference w:id="192"/>
            </w:r>
          </w:p>
        </w:tc>
      </w:tr>
      <w:commentRangeEnd w:id="192"/>
      <w:tr w:rsidR="006F646F" w:rsidRPr="0041791D" w14:paraId="69FB0931" w14:textId="77777777" w:rsidTr="00734E50">
        <w:trPr>
          <w:trHeight w:val="288"/>
        </w:trPr>
        <w:tc>
          <w:tcPr>
            <w:tcW w:w="2996" w:type="dxa"/>
            <w:tcBorders>
              <w:top w:val="single" w:sz="12" w:space="0" w:color="auto"/>
            </w:tcBorders>
            <w:vAlign w:val="center"/>
          </w:tcPr>
          <w:p w14:paraId="08436843"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Closed Landfill (Burn Dump)</w:t>
            </w:r>
          </w:p>
        </w:tc>
        <w:tc>
          <w:tcPr>
            <w:tcW w:w="2489" w:type="dxa"/>
            <w:tcBorders>
              <w:top w:val="single" w:sz="12" w:space="0" w:color="auto"/>
            </w:tcBorders>
            <w:vAlign w:val="center"/>
          </w:tcPr>
          <w:p w14:paraId="1D038F42"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1940’s</w:t>
            </w:r>
          </w:p>
        </w:tc>
        <w:tc>
          <w:tcPr>
            <w:tcW w:w="3314" w:type="dxa"/>
            <w:tcBorders>
              <w:top w:val="single" w:sz="12" w:space="0" w:color="auto"/>
            </w:tcBorders>
            <w:shd w:val="clear" w:color="auto" w:fill="auto"/>
            <w:vAlign w:val="center"/>
          </w:tcPr>
          <w:p w14:paraId="2C9BA44E" w14:textId="6F5902B8" w:rsidR="006F646F" w:rsidRPr="00734E50" w:rsidRDefault="009D18F5" w:rsidP="00F60A30">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Relocated into lined landfill (no</w:t>
            </w:r>
            <w:r w:rsidR="00F60A30">
              <w:rPr>
                <w:rFonts w:asciiTheme="minorHAnsi" w:eastAsia="Calibri" w:hAnsiTheme="minorHAnsi" w:cstheme="minorHAnsi"/>
                <w:sz w:val="24"/>
                <w:szCs w:val="24"/>
              </w:rPr>
              <w:t xml:space="preserve"> </w:t>
            </w:r>
            <w:r w:rsidRPr="00734E50">
              <w:rPr>
                <w:rFonts w:asciiTheme="minorHAnsi" w:eastAsia="Calibri" w:hAnsiTheme="minorHAnsi" w:cstheme="minorHAnsi"/>
                <w:sz w:val="24"/>
                <w:szCs w:val="24"/>
              </w:rPr>
              <w:t>longer exists)</w:t>
            </w:r>
          </w:p>
        </w:tc>
      </w:tr>
      <w:tr w:rsidR="006F646F" w:rsidRPr="0041791D" w14:paraId="03B07D1F" w14:textId="77777777" w:rsidTr="00734E50">
        <w:trPr>
          <w:trHeight w:val="288"/>
        </w:trPr>
        <w:tc>
          <w:tcPr>
            <w:tcW w:w="2996" w:type="dxa"/>
            <w:vAlign w:val="center"/>
          </w:tcPr>
          <w:p w14:paraId="5E9C9A3B"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1</w:t>
            </w:r>
          </w:p>
        </w:tc>
        <w:tc>
          <w:tcPr>
            <w:tcW w:w="2489" w:type="dxa"/>
            <w:vAlign w:val="center"/>
          </w:tcPr>
          <w:p w14:paraId="38D5A5D2"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Late 1970’s</w:t>
            </w:r>
          </w:p>
        </w:tc>
        <w:tc>
          <w:tcPr>
            <w:tcW w:w="3314" w:type="dxa"/>
            <w:shd w:val="clear" w:color="auto" w:fill="auto"/>
            <w:vAlign w:val="center"/>
          </w:tcPr>
          <w:p w14:paraId="774741B4" w14:textId="654C8FB6"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Mid-1990’s</w:t>
            </w:r>
          </w:p>
        </w:tc>
      </w:tr>
      <w:tr w:rsidR="006F646F" w:rsidRPr="0041791D" w14:paraId="44C4AF9C" w14:textId="77777777" w:rsidTr="00734E50">
        <w:trPr>
          <w:trHeight w:val="288"/>
        </w:trPr>
        <w:tc>
          <w:tcPr>
            <w:tcW w:w="2996" w:type="dxa"/>
            <w:vAlign w:val="center"/>
          </w:tcPr>
          <w:p w14:paraId="24BCC2F0"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1A</w:t>
            </w:r>
          </w:p>
        </w:tc>
        <w:tc>
          <w:tcPr>
            <w:tcW w:w="2489" w:type="dxa"/>
            <w:vAlign w:val="center"/>
          </w:tcPr>
          <w:p w14:paraId="788F3F42"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Late 1970’s</w:t>
            </w:r>
          </w:p>
        </w:tc>
        <w:tc>
          <w:tcPr>
            <w:tcW w:w="3314" w:type="dxa"/>
            <w:shd w:val="clear" w:color="auto" w:fill="auto"/>
            <w:vAlign w:val="center"/>
          </w:tcPr>
          <w:p w14:paraId="2A7AD185" w14:textId="7455EE7C"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Mid-1990’s</w:t>
            </w:r>
          </w:p>
        </w:tc>
      </w:tr>
      <w:tr w:rsidR="006F646F" w:rsidRPr="0041791D" w14:paraId="78510B0C" w14:textId="77777777" w:rsidTr="00734E50">
        <w:trPr>
          <w:trHeight w:val="288"/>
        </w:trPr>
        <w:tc>
          <w:tcPr>
            <w:tcW w:w="2996" w:type="dxa"/>
            <w:vAlign w:val="center"/>
          </w:tcPr>
          <w:p w14:paraId="4891DAC6"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2A</w:t>
            </w:r>
          </w:p>
        </w:tc>
        <w:tc>
          <w:tcPr>
            <w:tcW w:w="2489" w:type="dxa"/>
            <w:vAlign w:val="center"/>
          </w:tcPr>
          <w:p w14:paraId="1E82B560"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1988</w:t>
            </w:r>
          </w:p>
        </w:tc>
        <w:tc>
          <w:tcPr>
            <w:tcW w:w="3314" w:type="dxa"/>
            <w:shd w:val="clear" w:color="auto" w:fill="auto"/>
            <w:vAlign w:val="center"/>
          </w:tcPr>
          <w:p w14:paraId="1774D661" w14:textId="27B5E585"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6EA8058A" w14:textId="77777777" w:rsidTr="00734E50">
        <w:trPr>
          <w:trHeight w:val="288"/>
        </w:trPr>
        <w:tc>
          <w:tcPr>
            <w:tcW w:w="2996" w:type="dxa"/>
            <w:vAlign w:val="center"/>
          </w:tcPr>
          <w:p w14:paraId="5821B3F5"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2B</w:t>
            </w:r>
          </w:p>
        </w:tc>
        <w:tc>
          <w:tcPr>
            <w:tcW w:w="2489" w:type="dxa"/>
            <w:vAlign w:val="center"/>
          </w:tcPr>
          <w:p w14:paraId="2001ADB9"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1994</w:t>
            </w:r>
          </w:p>
        </w:tc>
        <w:tc>
          <w:tcPr>
            <w:tcW w:w="3314" w:type="dxa"/>
            <w:shd w:val="clear" w:color="auto" w:fill="auto"/>
            <w:vAlign w:val="center"/>
          </w:tcPr>
          <w:p w14:paraId="7B726560" w14:textId="678FF7A2"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6FD04388" w14:textId="77777777" w:rsidTr="00734E50">
        <w:trPr>
          <w:trHeight w:val="288"/>
        </w:trPr>
        <w:tc>
          <w:tcPr>
            <w:tcW w:w="2996" w:type="dxa"/>
            <w:vAlign w:val="center"/>
          </w:tcPr>
          <w:p w14:paraId="3EE96E1A"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2C</w:t>
            </w:r>
          </w:p>
        </w:tc>
        <w:tc>
          <w:tcPr>
            <w:tcW w:w="2489" w:type="dxa"/>
            <w:vAlign w:val="center"/>
          </w:tcPr>
          <w:p w14:paraId="1C31B5BD"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1995</w:t>
            </w:r>
          </w:p>
        </w:tc>
        <w:tc>
          <w:tcPr>
            <w:tcW w:w="3314" w:type="dxa"/>
            <w:shd w:val="clear" w:color="auto" w:fill="auto"/>
            <w:vAlign w:val="center"/>
          </w:tcPr>
          <w:p w14:paraId="3A15C26B" w14:textId="191BF279"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69EF613B" w14:textId="77777777" w:rsidTr="00734E50">
        <w:trPr>
          <w:trHeight w:val="288"/>
        </w:trPr>
        <w:tc>
          <w:tcPr>
            <w:tcW w:w="2996" w:type="dxa"/>
            <w:vAlign w:val="center"/>
          </w:tcPr>
          <w:p w14:paraId="23BBAF3F"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2D</w:t>
            </w:r>
          </w:p>
        </w:tc>
        <w:tc>
          <w:tcPr>
            <w:tcW w:w="2489" w:type="dxa"/>
            <w:vAlign w:val="center"/>
          </w:tcPr>
          <w:p w14:paraId="723EBAA8"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1998</w:t>
            </w:r>
          </w:p>
        </w:tc>
        <w:tc>
          <w:tcPr>
            <w:tcW w:w="3314" w:type="dxa"/>
            <w:shd w:val="clear" w:color="auto" w:fill="auto"/>
            <w:vAlign w:val="center"/>
          </w:tcPr>
          <w:p w14:paraId="6B8BB6C4" w14:textId="6031BFA8"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605E8623" w14:textId="77777777" w:rsidTr="00734E50">
        <w:trPr>
          <w:trHeight w:val="288"/>
        </w:trPr>
        <w:tc>
          <w:tcPr>
            <w:tcW w:w="2996" w:type="dxa"/>
            <w:vAlign w:val="center"/>
          </w:tcPr>
          <w:p w14:paraId="1F720128"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3A</w:t>
            </w:r>
          </w:p>
        </w:tc>
        <w:tc>
          <w:tcPr>
            <w:tcW w:w="2489" w:type="dxa"/>
            <w:vAlign w:val="center"/>
          </w:tcPr>
          <w:p w14:paraId="73A32482"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2003</w:t>
            </w:r>
          </w:p>
        </w:tc>
        <w:tc>
          <w:tcPr>
            <w:tcW w:w="3314" w:type="dxa"/>
            <w:shd w:val="clear" w:color="auto" w:fill="auto"/>
            <w:vAlign w:val="center"/>
          </w:tcPr>
          <w:p w14:paraId="54BC8C48" w14:textId="6F92769B"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59DF6323" w14:textId="77777777" w:rsidTr="00734E50">
        <w:trPr>
          <w:trHeight w:val="288"/>
        </w:trPr>
        <w:tc>
          <w:tcPr>
            <w:tcW w:w="2996" w:type="dxa"/>
            <w:vAlign w:val="center"/>
          </w:tcPr>
          <w:p w14:paraId="254CE0B5"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3B</w:t>
            </w:r>
          </w:p>
        </w:tc>
        <w:tc>
          <w:tcPr>
            <w:tcW w:w="2489" w:type="dxa"/>
            <w:vAlign w:val="center"/>
          </w:tcPr>
          <w:p w14:paraId="11553A20"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2004</w:t>
            </w:r>
          </w:p>
        </w:tc>
        <w:tc>
          <w:tcPr>
            <w:tcW w:w="3314" w:type="dxa"/>
            <w:shd w:val="clear" w:color="auto" w:fill="auto"/>
            <w:vAlign w:val="center"/>
          </w:tcPr>
          <w:p w14:paraId="0DA3A436" w14:textId="60DD0BB2"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73E1075D" w14:textId="77777777" w:rsidTr="00734E50">
        <w:trPr>
          <w:trHeight w:val="288"/>
        </w:trPr>
        <w:tc>
          <w:tcPr>
            <w:tcW w:w="2996" w:type="dxa"/>
            <w:vAlign w:val="center"/>
          </w:tcPr>
          <w:p w14:paraId="69EB2668"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3C</w:t>
            </w:r>
          </w:p>
        </w:tc>
        <w:tc>
          <w:tcPr>
            <w:tcW w:w="2489" w:type="dxa"/>
            <w:vAlign w:val="center"/>
          </w:tcPr>
          <w:p w14:paraId="7D2D44CF"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2005</w:t>
            </w:r>
          </w:p>
        </w:tc>
        <w:tc>
          <w:tcPr>
            <w:tcW w:w="3314" w:type="dxa"/>
            <w:shd w:val="clear" w:color="auto" w:fill="auto"/>
            <w:vAlign w:val="center"/>
          </w:tcPr>
          <w:p w14:paraId="4CB5C205" w14:textId="1B16A161"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7080CE1E" w14:textId="77777777" w:rsidTr="00734E50">
        <w:trPr>
          <w:trHeight w:val="288"/>
        </w:trPr>
        <w:tc>
          <w:tcPr>
            <w:tcW w:w="2996" w:type="dxa"/>
            <w:vAlign w:val="center"/>
          </w:tcPr>
          <w:p w14:paraId="1AE47AEA"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3D Phase I</w:t>
            </w:r>
          </w:p>
        </w:tc>
        <w:tc>
          <w:tcPr>
            <w:tcW w:w="2489" w:type="dxa"/>
            <w:vAlign w:val="center"/>
          </w:tcPr>
          <w:p w14:paraId="4A4C2DDC"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2007</w:t>
            </w:r>
          </w:p>
        </w:tc>
        <w:tc>
          <w:tcPr>
            <w:tcW w:w="3314" w:type="dxa"/>
            <w:shd w:val="clear" w:color="auto" w:fill="auto"/>
            <w:vAlign w:val="center"/>
          </w:tcPr>
          <w:p w14:paraId="67883C5E" w14:textId="4E39C76D"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6F646F" w:rsidRPr="0041791D" w14:paraId="3F3C2A8C" w14:textId="77777777" w:rsidTr="00734E50">
        <w:trPr>
          <w:trHeight w:val="288"/>
        </w:trPr>
        <w:tc>
          <w:tcPr>
            <w:tcW w:w="2996" w:type="dxa"/>
            <w:vAlign w:val="center"/>
          </w:tcPr>
          <w:p w14:paraId="18704B4A"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3D Phase 2</w:t>
            </w:r>
          </w:p>
        </w:tc>
        <w:tc>
          <w:tcPr>
            <w:tcW w:w="2489" w:type="dxa"/>
            <w:vAlign w:val="center"/>
          </w:tcPr>
          <w:p w14:paraId="27050910" w14:textId="77777777" w:rsidR="006F646F" w:rsidRPr="0041791D" w:rsidRDefault="006F646F" w:rsidP="00CD02A5">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2009</w:t>
            </w:r>
          </w:p>
        </w:tc>
        <w:tc>
          <w:tcPr>
            <w:tcW w:w="3314" w:type="dxa"/>
            <w:shd w:val="clear" w:color="auto" w:fill="auto"/>
            <w:vAlign w:val="center"/>
          </w:tcPr>
          <w:p w14:paraId="0739609D" w14:textId="19A47B7D" w:rsidR="006F646F" w:rsidRPr="00734E50" w:rsidRDefault="009D18F5" w:rsidP="00CD02A5">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734E50" w:rsidRPr="0041791D" w14:paraId="5364C89D" w14:textId="77777777" w:rsidTr="00734E50">
        <w:trPr>
          <w:trHeight w:val="288"/>
        </w:trPr>
        <w:tc>
          <w:tcPr>
            <w:tcW w:w="2996" w:type="dxa"/>
            <w:vAlign w:val="center"/>
          </w:tcPr>
          <w:p w14:paraId="02390997"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4</w:t>
            </w:r>
          </w:p>
        </w:tc>
        <w:tc>
          <w:tcPr>
            <w:tcW w:w="2489" w:type="dxa"/>
            <w:vAlign w:val="center"/>
          </w:tcPr>
          <w:p w14:paraId="61319954"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2012</w:t>
            </w:r>
          </w:p>
        </w:tc>
        <w:tc>
          <w:tcPr>
            <w:tcW w:w="3314" w:type="dxa"/>
            <w:shd w:val="clear" w:color="auto" w:fill="auto"/>
            <w:vAlign w:val="center"/>
          </w:tcPr>
          <w:p w14:paraId="46D4238E" w14:textId="60CBC68A" w:rsidR="00734E50" w:rsidRPr="00734E50" w:rsidRDefault="00734E50" w:rsidP="00734E50">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734E50" w:rsidRPr="0041791D" w14:paraId="4E4B57E7" w14:textId="77777777" w:rsidTr="00734E50">
        <w:trPr>
          <w:trHeight w:val="288"/>
        </w:trPr>
        <w:tc>
          <w:tcPr>
            <w:tcW w:w="2996" w:type="dxa"/>
            <w:vAlign w:val="center"/>
          </w:tcPr>
          <w:p w14:paraId="5C711A8E"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5A</w:t>
            </w:r>
          </w:p>
        </w:tc>
        <w:tc>
          <w:tcPr>
            <w:tcW w:w="2489" w:type="dxa"/>
            <w:vAlign w:val="center"/>
          </w:tcPr>
          <w:p w14:paraId="7A14AC86"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2014</w:t>
            </w:r>
          </w:p>
        </w:tc>
        <w:tc>
          <w:tcPr>
            <w:tcW w:w="3314" w:type="dxa"/>
            <w:shd w:val="clear" w:color="auto" w:fill="auto"/>
            <w:vAlign w:val="center"/>
          </w:tcPr>
          <w:p w14:paraId="062B82F3" w14:textId="048C7B4C" w:rsidR="00734E50" w:rsidRPr="00734E50" w:rsidRDefault="00734E50" w:rsidP="00734E50">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734E50" w:rsidRPr="0041791D" w14:paraId="5A074900" w14:textId="77777777" w:rsidTr="00734E50">
        <w:trPr>
          <w:trHeight w:val="288"/>
        </w:trPr>
        <w:tc>
          <w:tcPr>
            <w:tcW w:w="2996" w:type="dxa"/>
            <w:vAlign w:val="center"/>
          </w:tcPr>
          <w:p w14:paraId="3B781887"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5B</w:t>
            </w:r>
          </w:p>
        </w:tc>
        <w:tc>
          <w:tcPr>
            <w:tcW w:w="2489" w:type="dxa"/>
            <w:vAlign w:val="center"/>
          </w:tcPr>
          <w:p w14:paraId="0951C432"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2018</w:t>
            </w:r>
          </w:p>
        </w:tc>
        <w:tc>
          <w:tcPr>
            <w:tcW w:w="3314" w:type="dxa"/>
            <w:shd w:val="clear" w:color="auto" w:fill="auto"/>
            <w:vAlign w:val="center"/>
          </w:tcPr>
          <w:p w14:paraId="20E05AC7" w14:textId="1C62B9F3" w:rsidR="00734E50" w:rsidRPr="00734E50" w:rsidRDefault="00734E50" w:rsidP="00734E50">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734E50" w:rsidRPr="0041791D" w14:paraId="4F4A9866" w14:textId="77777777" w:rsidTr="00734E50">
        <w:trPr>
          <w:trHeight w:val="288"/>
        </w:trPr>
        <w:tc>
          <w:tcPr>
            <w:tcW w:w="2996" w:type="dxa"/>
            <w:vAlign w:val="center"/>
          </w:tcPr>
          <w:p w14:paraId="6488747E"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5C</w:t>
            </w:r>
          </w:p>
        </w:tc>
        <w:tc>
          <w:tcPr>
            <w:tcW w:w="2489" w:type="dxa"/>
            <w:vAlign w:val="center"/>
          </w:tcPr>
          <w:p w14:paraId="61E9EA66"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2020</w:t>
            </w:r>
          </w:p>
        </w:tc>
        <w:tc>
          <w:tcPr>
            <w:tcW w:w="3314" w:type="dxa"/>
            <w:shd w:val="clear" w:color="auto" w:fill="auto"/>
            <w:vAlign w:val="center"/>
          </w:tcPr>
          <w:p w14:paraId="65D24915" w14:textId="1284609E" w:rsidR="00734E50" w:rsidRPr="00734E50" w:rsidRDefault="00734E50" w:rsidP="00734E50">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734E50" w:rsidRPr="0041791D" w14:paraId="459964B1" w14:textId="77777777" w:rsidTr="00734E50">
        <w:trPr>
          <w:trHeight w:val="288"/>
        </w:trPr>
        <w:tc>
          <w:tcPr>
            <w:tcW w:w="2996" w:type="dxa"/>
            <w:vAlign w:val="center"/>
          </w:tcPr>
          <w:p w14:paraId="7BC55EDD"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5D</w:t>
            </w:r>
          </w:p>
        </w:tc>
        <w:tc>
          <w:tcPr>
            <w:tcW w:w="2489" w:type="dxa"/>
            <w:vAlign w:val="center"/>
          </w:tcPr>
          <w:p w14:paraId="5DD52E02"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2022</w:t>
            </w:r>
          </w:p>
        </w:tc>
        <w:tc>
          <w:tcPr>
            <w:tcW w:w="3314" w:type="dxa"/>
            <w:shd w:val="clear" w:color="auto" w:fill="auto"/>
            <w:vAlign w:val="center"/>
          </w:tcPr>
          <w:p w14:paraId="5652E7F4" w14:textId="7B7B4FDB" w:rsidR="00734E50" w:rsidRPr="00734E50" w:rsidRDefault="00734E50" w:rsidP="00734E50">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734E50" w:rsidRPr="0041791D" w14:paraId="5A525D05" w14:textId="77777777" w:rsidTr="00734E50">
        <w:trPr>
          <w:trHeight w:val="288"/>
        </w:trPr>
        <w:tc>
          <w:tcPr>
            <w:tcW w:w="2996" w:type="dxa"/>
            <w:vAlign w:val="center"/>
          </w:tcPr>
          <w:p w14:paraId="28B8A71B"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5E</w:t>
            </w:r>
          </w:p>
        </w:tc>
        <w:tc>
          <w:tcPr>
            <w:tcW w:w="2489" w:type="dxa"/>
            <w:vAlign w:val="center"/>
          </w:tcPr>
          <w:p w14:paraId="4EEF7141"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Future</w:t>
            </w:r>
          </w:p>
        </w:tc>
        <w:tc>
          <w:tcPr>
            <w:tcW w:w="3314" w:type="dxa"/>
            <w:shd w:val="clear" w:color="auto" w:fill="auto"/>
            <w:vAlign w:val="center"/>
          </w:tcPr>
          <w:p w14:paraId="52D8982A" w14:textId="44B3892F" w:rsidR="00734E50" w:rsidRPr="00734E50" w:rsidRDefault="00734E50" w:rsidP="00734E50">
            <w:pPr>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r w:rsidR="00734E50" w:rsidRPr="0041791D" w14:paraId="020687BE" w14:textId="77777777" w:rsidTr="00734E50">
        <w:trPr>
          <w:trHeight w:val="288"/>
        </w:trPr>
        <w:tc>
          <w:tcPr>
            <w:tcW w:w="2996" w:type="dxa"/>
            <w:vAlign w:val="center"/>
          </w:tcPr>
          <w:p w14:paraId="24C779E3"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Cell 6 (Quarry Area)</w:t>
            </w:r>
          </w:p>
        </w:tc>
        <w:tc>
          <w:tcPr>
            <w:tcW w:w="2489" w:type="dxa"/>
            <w:vAlign w:val="center"/>
          </w:tcPr>
          <w:p w14:paraId="139BB09D" w14:textId="77777777" w:rsidR="00734E50" w:rsidRPr="0041791D" w:rsidRDefault="00734E50" w:rsidP="00734E50">
            <w:pPr>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Future</w:t>
            </w:r>
          </w:p>
        </w:tc>
        <w:tc>
          <w:tcPr>
            <w:tcW w:w="3314" w:type="dxa"/>
            <w:shd w:val="clear" w:color="auto" w:fill="auto"/>
            <w:vAlign w:val="center"/>
          </w:tcPr>
          <w:p w14:paraId="56D344E2" w14:textId="1D437B28" w:rsidR="00734E50" w:rsidRPr="00734E50" w:rsidRDefault="00734E50" w:rsidP="00734E50">
            <w:pPr>
              <w:keepNext/>
              <w:jc w:val="center"/>
              <w:rPr>
                <w:rFonts w:asciiTheme="minorHAnsi" w:eastAsia="Calibri" w:hAnsiTheme="minorHAnsi" w:cstheme="minorHAnsi"/>
                <w:sz w:val="24"/>
                <w:szCs w:val="24"/>
              </w:rPr>
            </w:pPr>
            <w:r w:rsidRPr="00734E50">
              <w:rPr>
                <w:rFonts w:asciiTheme="minorHAnsi" w:eastAsia="Calibri" w:hAnsiTheme="minorHAnsi" w:cstheme="minorHAnsi"/>
                <w:sz w:val="24"/>
                <w:szCs w:val="24"/>
              </w:rPr>
              <w:t>TBD</w:t>
            </w:r>
          </w:p>
        </w:tc>
      </w:tr>
    </w:tbl>
    <w:p w14:paraId="4F923E3E" w14:textId="77777777" w:rsidR="006F646F" w:rsidRPr="0041791D" w:rsidRDefault="006F646F" w:rsidP="006F646F">
      <w:pPr>
        <w:rPr>
          <w:rFonts w:eastAsia="Calibri" w:cstheme="minorHAnsi"/>
          <w:sz w:val="24"/>
          <w:szCs w:val="24"/>
        </w:rPr>
      </w:pPr>
    </w:p>
    <w:p w14:paraId="386AAF89" w14:textId="77777777" w:rsidR="006F646F" w:rsidRPr="0041791D" w:rsidRDefault="006F646F" w:rsidP="006F646F">
      <w:pPr>
        <w:tabs>
          <w:tab w:val="center" w:pos="4896"/>
        </w:tabs>
        <w:rPr>
          <w:rFonts w:eastAsia="Calibri" w:cstheme="minorHAnsi"/>
          <w:sz w:val="24"/>
          <w:szCs w:val="24"/>
        </w:rPr>
        <w:sectPr w:rsidR="006F646F" w:rsidRPr="0041791D" w:rsidSect="00FD6437">
          <w:headerReference w:type="even" r:id="rId36"/>
          <w:headerReference w:type="default" r:id="rId37"/>
          <w:headerReference w:type="first" r:id="rId38"/>
          <w:type w:val="nextColumn"/>
          <w:pgSz w:w="12240" w:h="15840"/>
          <w:pgMar w:top="1008" w:right="1440" w:bottom="1008" w:left="1440" w:header="432" w:footer="432" w:gutter="0"/>
          <w:cols w:space="720"/>
          <w:docGrid w:linePitch="360"/>
        </w:sectPr>
      </w:pPr>
      <w:r w:rsidRPr="0041791D">
        <w:rPr>
          <w:rFonts w:eastAsia="Calibri" w:cstheme="minorHAnsi"/>
          <w:sz w:val="24"/>
          <w:szCs w:val="24"/>
        </w:rPr>
        <w:tab/>
      </w:r>
    </w:p>
    <w:p w14:paraId="6FDCF189" w14:textId="77777777" w:rsidR="006F646F" w:rsidRPr="0041791D" w:rsidRDefault="006F646F" w:rsidP="006F646F">
      <w:pPr>
        <w:keepNext/>
        <w:spacing w:line="240" w:lineRule="auto"/>
        <w:jc w:val="center"/>
        <w:rPr>
          <w:rFonts w:eastAsia="MS Mincho" w:cstheme="minorHAnsi"/>
          <w:b/>
          <w:bCs/>
          <w:color w:val="595959"/>
          <w:sz w:val="24"/>
          <w:szCs w:val="24"/>
        </w:rPr>
      </w:pPr>
      <w:r w:rsidRPr="0041791D">
        <w:rPr>
          <w:rFonts w:eastAsia="MS Mincho" w:cstheme="minorHAnsi"/>
          <w:b/>
          <w:bCs/>
          <w:color w:val="595959"/>
          <w:sz w:val="24"/>
          <w:szCs w:val="24"/>
        </w:rPr>
        <w:t xml:space="preserve">Figure </w:t>
      </w:r>
      <w:r>
        <w:rPr>
          <w:rFonts w:eastAsia="MS Mincho" w:cstheme="minorHAnsi"/>
          <w:b/>
          <w:bCs/>
          <w:color w:val="595959"/>
          <w:sz w:val="24"/>
          <w:szCs w:val="24"/>
        </w:rPr>
        <w:fldChar w:fldCharType="begin"/>
      </w:r>
      <w:r>
        <w:rPr>
          <w:rFonts w:eastAsia="MS Mincho" w:cstheme="minorHAnsi"/>
          <w:b/>
          <w:bCs/>
          <w:color w:val="595959"/>
          <w:sz w:val="24"/>
          <w:szCs w:val="24"/>
        </w:rPr>
        <w:instrText xml:space="preserve"> SEQ Figure \* ARABIC </w:instrText>
      </w:r>
      <w:r>
        <w:rPr>
          <w:rFonts w:eastAsia="MS Mincho" w:cstheme="minorHAnsi"/>
          <w:b/>
          <w:bCs/>
          <w:color w:val="595959"/>
          <w:sz w:val="24"/>
          <w:szCs w:val="24"/>
        </w:rPr>
        <w:fldChar w:fldCharType="separate"/>
      </w:r>
      <w:r>
        <w:rPr>
          <w:rFonts w:eastAsia="MS Mincho" w:cstheme="minorHAnsi"/>
          <w:b/>
          <w:bCs/>
          <w:noProof/>
          <w:color w:val="595959"/>
          <w:sz w:val="24"/>
          <w:szCs w:val="24"/>
        </w:rPr>
        <w:t>17</w:t>
      </w:r>
      <w:r>
        <w:rPr>
          <w:rFonts w:eastAsia="MS Mincho" w:cstheme="minorHAnsi"/>
          <w:b/>
          <w:bCs/>
          <w:color w:val="595959"/>
          <w:sz w:val="24"/>
          <w:szCs w:val="24"/>
        </w:rPr>
        <w:fldChar w:fldCharType="end"/>
      </w:r>
      <w:r w:rsidRPr="0041791D">
        <w:rPr>
          <w:rFonts w:eastAsia="MS Mincho" w:cstheme="minorHAnsi"/>
          <w:b/>
          <w:bCs/>
          <w:color w:val="595959"/>
          <w:sz w:val="24"/>
          <w:szCs w:val="24"/>
        </w:rPr>
        <w:t>: Landfill Zoning</w:t>
      </w:r>
    </w:p>
    <w:p w14:paraId="0A2AFBA6" w14:textId="77777777" w:rsidR="006F646F" w:rsidRPr="00143E5C" w:rsidRDefault="006F646F" w:rsidP="006F646F">
      <w:pPr>
        <w:keepNext/>
        <w:ind w:left="-540"/>
        <w:jc w:val="center"/>
        <w:rPr>
          <w:rFonts w:eastAsia="Calibri" w:cstheme="minorHAnsi"/>
          <w:sz w:val="24"/>
          <w:szCs w:val="24"/>
        </w:rPr>
      </w:pPr>
      <w:r w:rsidRPr="0041791D">
        <w:rPr>
          <w:rFonts w:eastAsia="Calibri" w:cstheme="minorHAnsi"/>
          <w:noProof/>
          <w:sz w:val="24"/>
          <w:szCs w:val="24"/>
        </w:rPr>
        <w:drawing>
          <wp:inline distT="0" distB="0" distL="0" distR="0" wp14:anchorId="3A51386C" wp14:editId="58EE5AA1">
            <wp:extent cx="9447695" cy="6093562"/>
            <wp:effectExtent l="0" t="0" r="1270" b="2540"/>
            <wp:docPr id="250361773" name="Picture 25036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499479" cy="6126962"/>
                    </a:xfrm>
                    <a:prstGeom prst="rect">
                      <a:avLst/>
                    </a:prstGeom>
                    <a:noFill/>
                    <a:ln>
                      <a:noFill/>
                    </a:ln>
                  </pic:spPr>
                </pic:pic>
              </a:graphicData>
            </a:graphic>
          </wp:inline>
        </w:drawing>
      </w:r>
    </w:p>
    <w:p w14:paraId="2E04D1EB" w14:textId="77777777" w:rsidR="006F646F" w:rsidRPr="0041791D" w:rsidRDefault="006F646F" w:rsidP="006F646F">
      <w:pPr>
        <w:keepNext/>
        <w:spacing w:line="240" w:lineRule="auto"/>
        <w:jc w:val="center"/>
        <w:rPr>
          <w:rFonts w:eastAsia="MS Mincho" w:cstheme="minorHAnsi"/>
          <w:b/>
          <w:bCs/>
          <w:color w:val="595959"/>
          <w:sz w:val="24"/>
          <w:szCs w:val="24"/>
        </w:rPr>
      </w:pPr>
      <w:r w:rsidRPr="0041791D">
        <w:rPr>
          <w:rFonts w:eastAsia="MS Mincho" w:cstheme="minorHAnsi"/>
          <w:b/>
          <w:bCs/>
          <w:color w:val="595959"/>
          <w:sz w:val="24"/>
          <w:szCs w:val="24"/>
        </w:rPr>
        <w:t xml:space="preserve">Figure </w:t>
      </w:r>
      <w:r>
        <w:rPr>
          <w:rFonts w:eastAsia="MS Mincho" w:cstheme="minorHAnsi"/>
          <w:b/>
          <w:bCs/>
          <w:color w:val="595959"/>
          <w:sz w:val="24"/>
          <w:szCs w:val="24"/>
        </w:rPr>
        <w:fldChar w:fldCharType="begin"/>
      </w:r>
      <w:r>
        <w:rPr>
          <w:rFonts w:eastAsia="MS Mincho" w:cstheme="minorHAnsi"/>
          <w:b/>
          <w:bCs/>
          <w:color w:val="595959"/>
          <w:sz w:val="24"/>
          <w:szCs w:val="24"/>
        </w:rPr>
        <w:instrText xml:space="preserve"> SEQ Figure \* ARABIC </w:instrText>
      </w:r>
      <w:r>
        <w:rPr>
          <w:rFonts w:eastAsia="MS Mincho" w:cstheme="minorHAnsi"/>
          <w:b/>
          <w:bCs/>
          <w:color w:val="595959"/>
          <w:sz w:val="24"/>
          <w:szCs w:val="24"/>
        </w:rPr>
        <w:fldChar w:fldCharType="separate"/>
      </w:r>
      <w:r>
        <w:rPr>
          <w:rFonts w:eastAsia="MS Mincho" w:cstheme="minorHAnsi"/>
          <w:b/>
          <w:bCs/>
          <w:noProof/>
          <w:color w:val="595959"/>
          <w:sz w:val="24"/>
          <w:szCs w:val="24"/>
        </w:rPr>
        <w:t>18</w:t>
      </w:r>
      <w:r>
        <w:rPr>
          <w:rFonts w:eastAsia="MS Mincho" w:cstheme="minorHAnsi"/>
          <w:b/>
          <w:bCs/>
          <w:color w:val="595959"/>
          <w:sz w:val="24"/>
          <w:szCs w:val="24"/>
        </w:rPr>
        <w:fldChar w:fldCharType="end"/>
      </w:r>
      <w:r w:rsidRPr="0041791D">
        <w:rPr>
          <w:rFonts w:eastAsia="MS Mincho" w:cstheme="minorHAnsi"/>
          <w:b/>
          <w:bCs/>
          <w:color w:val="595959"/>
          <w:sz w:val="24"/>
          <w:szCs w:val="24"/>
        </w:rPr>
        <w:t>: Landfill Cells</w:t>
      </w:r>
    </w:p>
    <w:p w14:paraId="09F5EA35" w14:textId="77777777" w:rsidR="006F646F" w:rsidRPr="0041791D" w:rsidRDefault="006F646F" w:rsidP="006F646F">
      <w:pPr>
        <w:keepNext/>
        <w:spacing w:before="120" w:after="240" w:line="240" w:lineRule="auto"/>
        <w:jc w:val="center"/>
        <w:rPr>
          <w:rFonts w:eastAsia="Calibri" w:cstheme="minorHAnsi"/>
          <w:i/>
          <w:iCs/>
          <w:sz w:val="24"/>
          <w:szCs w:val="24"/>
        </w:rPr>
      </w:pPr>
      <w:r w:rsidRPr="0041791D">
        <w:rPr>
          <w:rFonts w:eastAsia="Calibri" w:cstheme="minorHAnsi"/>
          <w:i/>
          <w:iCs/>
          <w:noProof/>
          <w:sz w:val="24"/>
          <w:szCs w:val="24"/>
        </w:rPr>
        <w:drawing>
          <wp:inline distT="0" distB="0" distL="0" distR="0" wp14:anchorId="4B17B2B2" wp14:editId="672F3931">
            <wp:extent cx="9061546" cy="5844845"/>
            <wp:effectExtent l="0" t="0" r="6350" b="3810"/>
            <wp:docPr id="250361774" name="Picture 2503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76433" cy="5854448"/>
                    </a:xfrm>
                    <a:prstGeom prst="rect">
                      <a:avLst/>
                    </a:prstGeom>
                    <a:noFill/>
                    <a:ln>
                      <a:noFill/>
                    </a:ln>
                  </pic:spPr>
                </pic:pic>
              </a:graphicData>
            </a:graphic>
          </wp:inline>
        </w:drawing>
      </w:r>
    </w:p>
    <w:p w14:paraId="3A26B1D2" w14:textId="77777777" w:rsidR="00000000" w:rsidRPr="00DA15AE" w:rsidRDefault="00415FF3" w:rsidP="00DA15AE">
      <w:pPr>
        <w:rPr>
          <w:rFonts w:eastAsia="Calibri" w:cstheme="minorHAnsi"/>
          <w:sz w:val="24"/>
          <w:szCs w:val="24"/>
        </w:rPr>
        <w:sectPr w:rsidR="00000000" w:rsidRPr="00DA15AE" w:rsidSect="00FD6437">
          <w:type w:val="nextColumn"/>
          <w:pgSz w:w="15840" w:h="12240" w:orient="landscape"/>
          <w:pgMar w:top="1008" w:right="1440" w:bottom="1008" w:left="1440" w:header="432" w:footer="432" w:gutter="0"/>
          <w:cols w:space="720"/>
          <w:docGrid w:linePitch="360"/>
        </w:sectPr>
      </w:pPr>
    </w:p>
    <w:p w14:paraId="79809276" w14:textId="77777777" w:rsidR="006F646F" w:rsidRPr="0041791D" w:rsidRDefault="006F646F" w:rsidP="006F646F">
      <w:pPr>
        <w:pStyle w:val="Heading2"/>
        <w:rPr>
          <w:rFonts w:asciiTheme="minorHAnsi" w:hAnsiTheme="minorHAnsi" w:cstheme="minorHAnsi"/>
          <w:sz w:val="24"/>
          <w:szCs w:val="24"/>
        </w:rPr>
      </w:pPr>
      <w:bookmarkStart w:id="193" w:name="_Toc128666890"/>
      <w:bookmarkStart w:id="194" w:name="_Toc129256723"/>
      <w:r w:rsidRPr="0041791D">
        <w:rPr>
          <w:rFonts w:asciiTheme="minorHAnsi" w:hAnsiTheme="minorHAnsi" w:cstheme="minorHAnsi"/>
          <w:sz w:val="24"/>
          <w:szCs w:val="24"/>
        </w:rPr>
        <w:t>Section 2: Specific Locations</w:t>
      </w:r>
      <w:bookmarkEnd w:id="193"/>
      <w:bookmarkEnd w:id="194"/>
    </w:p>
    <w:p w14:paraId="547FBC84" w14:textId="77777777" w:rsidR="006F646F" w:rsidRPr="0041791D" w:rsidRDefault="006F646F" w:rsidP="006F646F">
      <w:pPr>
        <w:spacing w:after="240" w:line="240" w:lineRule="auto"/>
        <w:rPr>
          <w:rFonts w:eastAsia="Calibri" w:cstheme="minorHAnsi"/>
          <w:sz w:val="24"/>
          <w:szCs w:val="24"/>
        </w:rPr>
      </w:pPr>
      <w:r w:rsidRPr="0041791D">
        <w:rPr>
          <w:rFonts w:eastAsia="Calibri" w:cstheme="minorHAnsi"/>
          <w:sz w:val="24"/>
          <w:szCs w:val="24"/>
        </w:rPr>
        <w:t>This section summarizes the primary actions and events that define the current Coffin Butte landfill footprint.</w:t>
      </w:r>
      <w:commentRangeStart w:id="195"/>
      <w:commentRangeEnd w:id="195"/>
      <w:r w:rsidRPr="0041791D">
        <w:rPr>
          <w:rFonts w:eastAsia="Calibri" w:cstheme="minorHAnsi"/>
          <w:sz w:val="24"/>
          <w:szCs w:val="24"/>
        </w:rPr>
        <w:commentReference w:id="195"/>
      </w:r>
    </w:p>
    <w:p w14:paraId="436FF356" w14:textId="77777777" w:rsidR="006F646F" w:rsidRPr="0041791D" w:rsidRDefault="006F646F" w:rsidP="006F646F">
      <w:pPr>
        <w:pStyle w:val="Heading3"/>
        <w:numPr>
          <w:ilvl w:val="0"/>
          <w:numId w:val="29"/>
        </w:numPr>
        <w:ind w:left="852" w:hanging="385"/>
        <w:rPr>
          <w:rFonts w:asciiTheme="minorHAnsi" w:hAnsiTheme="minorHAnsi" w:cstheme="minorHAnsi"/>
        </w:rPr>
      </w:pPr>
      <w:bookmarkStart w:id="196" w:name="_1983__Rezoning"/>
      <w:bookmarkStart w:id="197" w:name="_Toc124410307"/>
      <w:bookmarkStart w:id="198" w:name="_Toc126745048"/>
      <w:bookmarkStart w:id="199" w:name="_Toc128666891"/>
      <w:bookmarkStart w:id="200" w:name="_Toc129256724"/>
      <w:bookmarkEnd w:id="196"/>
      <w:commentRangeStart w:id="201"/>
      <w:r w:rsidRPr="0041791D">
        <w:rPr>
          <w:rFonts w:asciiTheme="minorHAnsi" w:hAnsiTheme="minorHAnsi" w:cstheme="minorHAnsi"/>
        </w:rPr>
        <w:t>1983</w:t>
      </w:r>
      <w:commentRangeEnd w:id="201"/>
      <w:r w:rsidRPr="0041791D">
        <w:rPr>
          <w:rFonts w:asciiTheme="minorHAnsi" w:eastAsia="Calibri" w:hAnsiTheme="minorHAnsi" w:cstheme="minorHAnsi"/>
        </w:rPr>
        <w:commentReference w:id="201"/>
      </w:r>
      <w:r w:rsidRPr="0041791D">
        <w:rPr>
          <w:rFonts w:asciiTheme="minorHAnsi" w:hAnsiTheme="minorHAnsi" w:cstheme="minorHAnsi"/>
        </w:rPr>
        <w:t xml:space="preserve"> Rezoning Action</w:t>
      </w:r>
      <w:bookmarkEnd w:id="197"/>
      <w:bookmarkEnd w:id="198"/>
      <w:bookmarkEnd w:id="199"/>
      <w:bookmarkEnd w:id="200"/>
    </w:p>
    <w:p w14:paraId="38D70CD9" w14:textId="77777777" w:rsidR="006F646F" w:rsidRPr="0041791D" w:rsidRDefault="006F646F" w:rsidP="006F646F">
      <w:pPr>
        <w:tabs>
          <w:tab w:val="left" w:pos="0"/>
        </w:tabs>
        <w:rPr>
          <w:rFonts w:eastAsia="Calibri" w:cstheme="minorHAnsi"/>
          <w:sz w:val="24"/>
          <w:szCs w:val="24"/>
        </w:rPr>
      </w:pPr>
      <w:r w:rsidRPr="0041791D">
        <w:rPr>
          <w:rFonts w:eastAsia="Calibri" w:cstheme="minorHAnsi"/>
          <w:sz w:val="24"/>
          <w:szCs w:val="24"/>
        </w:rPr>
        <w:t xml:space="preserve">Per Benton County PC-83-07-C, in 1983 a new zoning category (“LANDFILL SITE”) was created for Benton County. Approximately 266 acres of land owned by Valley Landfill, Inc. were rezoned with this classification.  Of these 266 acres, 194 acres, all on the north side of Coffin Butte Road, were approved for waste </w:t>
      </w:r>
      <w:commentRangeStart w:id="202"/>
      <w:commentRangeStart w:id="203"/>
      <w:r w:rsidRPr="0041791D">
        <w:rPr>
          <w:rFonts w:eastAsia="Calibri" w:cstheme="minorHAnsi"/>
          <w:sz w:val="24"/>
          <w:szCs w:val="24"/>
        </w:rPr>
        <w:t>disposal</w:t>
      </w:r>
      <w:commentRangeEnd w:id="202"/>
      <w:r w:rsidRPr="0041791D">
        <w:rPr>
          <w:rFonts w:eastAsia="Calibri" w:cstheme="minorHAnsi"/>
          <w:sz w:val="24"/>
          <w:szCs w:val="24"/>
        </w:rPr>
        <w:commentReference w:id="202"/>
      </w:r>
      <w:commentRangeEnd w:id="203"/>
      <w:r w:rsidRPr="0041791D">
        <w:rPr>
          <w:rFonts w:eastAsia="Calibri" w:cstheme="minorHAnsi"/>
          <w:sz w:val="24"/>
          <w:szCs w:val="24"/>
        </w:rPr>
        <w:commentReference w:id="203"/>
      </w:r>
      <w:r w:rsidRPr="0041791D">
        <w:rPr>
          <w:rFonts w:eastAsia="Calibri" w:cstheme="minorHAnsi"/>
          <w:sz w:val="24"/>
          <w:szCs w:val="24"/>
        </w:rPr>
        <w:t>. The acreage on the south side of Coffin Butte Road can be permitted for waste disposal if a CUP is obtained from Benton County.</w:t>
      </w:r>
    </w:p>
    <w:p w14:paraId="2D14BC2C" w14:textId="77777777" w:rsidR="006F646F" w:rsidRPr="0041791D" w:rsidRDefault="006F646F" w:rsidP="006F646F">
      <w:pPr>
        <w:tabs>
          <w:tab w:val="left" w:pos="0"/>
        </w:tabs>
        <w:rPr>
          <w:rFonts w:eastAsia="Calibri" w:cstheme="minorHAnsi"/>
          <w:sz w:val="24"/>
          <w:szCs w:val="24"/>
        </w:rPr>
      </w:pPr>
      <w:r w:rsidRPr="0041791D">
        <w:rPr>
          <w:rFonts w:eastAsia="Calibri" w:cstheme="minorHAnsi"/>
          <w:sz w:val="24"/>
          <w:szCs w:val="24"/>
        </w:rPr>
        <w:t>At the time the application for a zone change was filed in 1983, the landfill was receiving “approximately 375 tons of refuse per day” per PC-83-07 applicant filing.</w:t>
      </w:r>
    </w:p>
    <w:p w14:paraId="0F83A793" w14:textId="77777777" w:rsidR="006F646F" w:rsidRPr="0041791D" w:rsidRDefault="006F646F" w:rsidP="006F646F">
      <w:pPr>
        <w:tabs>
          <w:tab w:val="left" w:pos="0"/>
        </w:tabs>
        <w:rPr>
          <w:rFonts w:eastAsia="Calibri" w:cstheme="minorHAnsi"/>
          <w:sz w:val="24"/>
          <w:szCs w:val="24"/>
        </w:rPr>
      </w:pPr>
      <w:r w:rsidRPr="0041791D">
        <w:rPr>
          <w:rFonts w:eastAsia="Calibri" w:cstheme="minorHAnsi"/>
          <w:i/>
          <w:sz w:val="24"/>
          <w:szCs w:val="24"/>
        </w:rPr>
        <w:fldChar w:fldCharType="begin"/>
      </w:r>
      <w:r w:rsidRPr="0041791D">
        <w:rPr>
          <w:rFonts w:eastAsia="Calibri" w:cstheme="minorHAnsi"/>
          <w:i/>
          <w:sz w:val="24"/>
          <w:szCs w:val="24"/>
        </w:rPr>
        <w:instrText xml:space="preserve"> REF _Ref124329791 \h  \* MERGEFORMAT </w:instrText>
      </w:r>
      <w:r w:rsidRPr="0041791D">
        <w:rPr>
          <w:rFonts w:eastAsia="Calibri" w:cstheme="minorHAnsi"/>
          <w:i/>
          <w:sz w:val="24"/>
          <w:szCs w:val="24"/>
        </w:rPr>
      </w:r>
      <w:r w:rsidRPr="0041791D">
        <w:rPr>
          <w:rFonts w:eastAsia="Calibri" w:cstheme="minorHAnsi"/>
          <w:i/>
          <w:sz w:val="24"/>
          <w:szCs w:val="24"/>
        </w:rPr>
        <w:fldChar w:fldCharType="separate"/>
      </w:r>
      <w:r w:rsidRPr="0041791D">
        <w:rPr>
          <w:rFonts w:eastAsia="Calibri" w:cstheme="minorHAnsi"/>
          <w:i/>
          <w:sz w:val="24"/>
          <w:szCs w:val="24"/>
        </w:rPr>
        <w:t xml:space="preserve">Figure </w:t>
      </w:r>
      <w:r w:rsidRPr="0041791D">
        <w:rPr>
          <w:rFonts w:eastAsia="Calibri" w:cstheme="minorHAnsi"/>
          <w:i/>
          <w:noProof/>
          <w:sz w:val="24"/>
          <w:szCs w:val="24"/>
        </w:rPr>
        <w:t>8</w:t>
      </w:r>
      <w:r w:rsidRPr="0041791D">
        <w:rPr>
          <w:rFonts w:eastAsia="Calibri" w:cstheme="minorHAnsi"/>
          <w:i/>
          <w:sz w:val="24"/>
          <w:szCs w:val="24"/>
        </w:rPr>
        <w:t>: Proposed 1983 Rezoning Map</w:t>
      </w:r>
      <w:r w:rsidRPr="0041791D">
        <w:rPr>
          <w:rFonts w:eastAsia="Calibri" w:cstheme="minorHAnsi"/>
          <w:i/>
          <w:sz w:val="24"/>
          <w:szCs w:val="24"/>
        </w:rPr>
        <w:fldChar w:fldCharType="end"/>
      </w:r>
      <w:r w:rsidRPr="0041791D">
        <w:rPr>
          <w:rFonts w:eastAsia="Calibri" w:cstheme="minorHAnsi"/>
          <w:sz w:val="24"/>
          <w:szCs w:val="24"/>
        </w:rPr>
        <w:t xml:space="preserve"> denotes the originally proposed outline for land to be rezoned as Landfill Site (LS).  Note that the northernmost section of the proposed area, extending north from the ridgeline of Coffin Butte, was ultimately not rezoned as LS due to concerns from neighbors.   Also note that the expected areas of landfill are delineated in this drawing: Completed fill (west side), Present fill (southwest section), and Future fill (large area in center/east).</w:t>
      </w:r>
    </w:p>
    <w:p w14:paraId="48C05FBC" w14:textId="77777777" w:rsidR="006F646F" w:rsidRPr="0041791D" w:rsidRDefault="006F646F" w:rsidP="006F646F">
      <w:pPr>
        <w:tabs>
          <w:tab w:val="left" w:pos="0"/>
        </w:tabs>
        <w:rPr>
          <w:rFonts w:eastAsia="Calibri" w:cstheme="minorHAnsi"/>
          <w:sz w:val="24"/>
          <w:szCs w:val="24"/>
        </w:rPr>
      </w:pPr>
      <w:r w:rsidRPr="0041791D">
        <w:rPr>
          <w:rFonts w:eastAsia="Calibri" w:cstheme="minorHAnsi"/>
          <w:sz w:val="24"/>
          <w:szCs w:val="24"/>
        </w:rPr>
        <w:t xml:space="preserve">The overview map included in the </w:t>
      </w:r>
      <w:hyperlink r:id="rId41" w:tgtFrame="_blank" w:history="1">
        <w:r w:rsidRPr="0041791D">
          <w:rPr>
            <w:rFonts w:eastAsia="Calibri" w:cstheme="minorHAnsi"/>
            <w:color w:val="0563C1"/>
            <w:sz w:val="24"/>
            <w:szCs w:val="24"/>
            <w:u w:val="single"/>
          </w:rPr>
          <w:t>Benton County &amp; Valley Landfills MOU Relating to Land Use Issues (2002)</w:t>
        </w:r>
      </w:hyperlink>
      <w:r w:rsidRPr="0041791D">
        <w:rPr>
          <w:rFonts w:eastAsia="Calibri" w:cstheme="minorHAnsi"/>
          <w:sz w:val="24"/>
          <w:szCs w:val="24"/>
        </w:rPr>
        <w:t xml:space="preserve"> document, included here as </w:t>
      </w:r>
      <w:r w:rsidRPr="0041791D">
        <w:rPr>
          <w:rFonts w:eastAsia="Calibri" w:cstheme="minorHAnsi"/>
          <w:i/>
          <w:sz w:val="24"/>
          <w:szCs w:val="24"/>
        </w:rPr>
        <w:fldChar w:fldCharType="begin"/>
      </w:r>
      <w:r w:rsidRPr="0041791D">
        <w:rPr>
          <w:rFonts w:eastAsia="Calibri" w:cstheme="minorHAnsi"/>
          <w:i/>
          <w:sz w:val="24"/>
          <w:szCs w:val="24"/>
        </w:rPr>
        <w:instrText xml:space="preserve"> REF _Ref124338018 \h  \* MERGEFORMAT </w:instrText>
      </w:r>
      <w:r w:rsidRPr="0041791D">
        <w:rPr>
          <w:rFonts w:eastAsia="Calibri" w:cstheme="minorHAnsi"/>
          <w:i/>
          <w:sz w:val="24"/>
          <w:szCs w:val="24"/>
        </w:rPr>
      </w:r>
      <w:r w:rsidRPr="0041791D">
        <w:rPr>
          <w:rFonts w:eastAsia="Calibri" w:cstheme="minorHAnsi"/>
          <w:i/>
          <w:sz w:val="24"/>
          <w:szCs w:val="24"/>
        </w:rPr>
        <w:fldChar w:fldCharType="separate"/>
      </w:r>
      <w:r w:rsidRPr="0041791D">
        <w:rPr>
          <w:rFonts w:eastAsia="Calibri" w:cstheme="minorHAnsi"/>
          <w:i/>
          <w:sz w:val="24"/>
          <w:szCs w:val="24"/>
        </w:rPr>
        <w:t xml:space="preserve">Figure </w:t>
      </w:r>
      <w:r w:rsidRPr="0041791D">
        <w:rPr>
          <w:rFonts w:eastAsia="Calibri" w:cstheme="minorHAnsi"/>
          <w:i/>
          <w:noProof/>
          <w:sz w:val="24"/>
          <w:szCs w:val="24"/>
        </w:rPr>
        <w:t>9</w:t>
      </w:r>
      <w:r w:rsidRPr="0041791D">
        <w:rPr>
          <w:rFonts w:eastAsia="Calibri" w:cstheme="minorHAnsi"/>
          <w:i/>
          <w:sz w:val="24"/>
          <w:szCs w:val="24"/>
        </w:rPr>
        <w:t>: Zoning Map (2002 MOU)</w:t>
      </w:r>
      <w:r w:rsidRPr="0041791D">
        <w:rPr>
          <w:rFonts w:eastAsia="Calibri" w:cstheme="minorHAnsi"/>
          <w:i/>
          <w:sz w:val="24"/>
          <w:szCs w:val="24"/>
        </w:rPr>
        <w:fldChar w:fldCharType="end"/>
      </w:r>
      <w:r w:rsidRPr="0041791D">
        <w:rPr>
          <w:rFonts w:eastAsia="Calibri" w:cstheme="minorHAnsi"/>
          <w:sz w:val="24"/>
          <w:szCs w:val="24"/>
        </w:rPr>
        <w:t>, clarifies the zoning boundaries.</w:t>
      </w:r>
    </w:p>
    <w:p w14:paraId="17258505" w14:textId="77777777" w:rsidR="006F646F" w:rsidRPr="0041791D" w:rsidRDefault="006F646F" w:rsidP="006F646F">
      <w:pPr>
        <w:rPr>
          <w:rFonts w:eastAsia="Calibri" w:cstheme="minorHAnsi"/>
          <w:sz w:val="24"/>
          <w:szCs w:val="24"/>
        </w:rPr>
      </w:pPr>
      <w:r w:rsidRPr="0041791D">
        <w:rPr>
          <w:rFonts w:eastAsia="Calibri" w:cstheme="minorHAnsi"/>
          <w:sz w:val="24"/>
          <w:szCs w:val="24"/>
        </w:rPr>
        <w:br w:type="page"/>
      </w:r>
    </w:p>
    <w:p w14:paraId="156CBC81" w14:textId="77777777" w:rsidR="006F646F" w:rsidRPr="0041791D" w:rsidRDefault="006F646F" w:rsidP="006F646F">
      <w:pPr>
        <w:rPr>
          <w:rFonts w:eastAsia="Calibri" w:cstheme="minorHAnsi"/>
          <w:sz w:val="24"/>
          <w:szCs w:val="24"/>
        </w:rPr>
      </w:pPr>
    </w:p>
    <w:p w14:paraId="0788505F" w14:textId="77777777" w:rsidR="006F646F" w:rsidRPr="0041791D" w:rsidRDefault="006F646F" w:rsidP="006F646F">
      <w:pPr>
        <w:rPr>
          <w:rFonts w:eastAsia="Calibri" w:cstheme="minorHAnsi"/>
          <w:sz w:val="24"/>
          <w:szCs w:val="24"/>
        </w:rPr>
      </w:pPr>
      <w:r w:rsidRPr="0041791D">
        <w:rPr>
          <w:rFonts w:eastAsia="Calibri" w:cstheme="minorHAnsi"/>
          <w:noProof/>
          <w:sz w:val="24"/>
          <w:szCs w:val="24"/>
        </w:rPr>
        <w:drawing>
          <wp:anchor distT="0" distB="0" distL="114300" distR="114300" simplePos="0" relativeHeight="251668480" behindDoc="0" locked="0" layoutInCell="1" allowOverlap="1" wp14:anchorId="19B20789" wp14:editId="5DD7DA79">
            <wp:simplePos x="0" y="0"/>
            <wp:positionH relativeFrom="column">
              <wp:posOffset>-1905</wp:posOffset>
            </wp:positionH>
            <wp:positionV relativeFrom="paragraph">
              <wp:posOffset>692727</wp:posOffset>
            </wp:positionV>
            <wp:extent cx="5943600" cy="4507230"/>
            <wp:effectExtent l="0" t="0" r="0" b="762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4507230"/>
                    </a:xfrm>
                    <a:prstGeom prst="rect">
                      <a:avLst/>
                    </a:prstGeom>
                    <a:noFill/>
                    <a:ln>
                      <a:noFill/>
                    </a:ln>
                  </pic:spPr>
                </pic:pic>
              </a:graphicData>
            </a:graphic>
          </wp:anchor>
        </w:drawing>
      </w:r>
      <w:r w:rsidRPr="0041791D">
        <w:rPr>
          <w:rFonts w:eastAsia="Calibri" w:cstheme="minorHAnsi"/>
          <w:noProof/>
          <w:sz w:val="24"/>
          <w:szCs w:val="24"/>
        </w:rPr>
        <mc:AlternateContent>
          <mc:Choice Requires="wps">
            <w:drawing>
              <wp:anchor distT="0" distB="0" distL="114300" distR="114300" simplePos="0" relativeHeight="251663360" behindDoc="0" locked="0" layoutInCell="1" allowOverlap="1" wp14:anchorId="3CE54DA4" wp14:editId="43E065D1">
                <wp:simplePos x="0" y="0"/>
                <wp:positionH relativeFrom="column">
                  <wp:posOffset>0</wp:posOffset>
                </wp:positionH>
                <wp:positionV relativeFrom="paragraph">
                  <wp:posOffset>0</wp:posOffset>
                </wp:positionV>
                <wp:extent cx="5943600" cy="457200"/>
                <wp:effectExtent l="0" t="0" r="0" b="0"/>
                <wp:wrapTopAndBottom/>
                <wp:docPr id="35" name="Text Box 35"/>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wps:spPr>
                      <wps:txbx>
                        <w:txbxContent>
                          <w:p w14:paraId="0CB92C6C" w14:textId="77777777" w:rsidR="006F646F" w:rsidRPr="007311EF" w:rsidRDefault="006F646F" w:rsidP="006F646F">
                            <w:pPr>
                              <w:pStyle w:val="Caption1"/>
                              <w:rPr>
                                <w:rFonts w:eastAsia="Calibri" w:cs="Times New Roman"/>
                                <w:noProof/>
                              </w:rPr>
                            </w:pPr>
                            <w:r>
                              <w:t xml:space="preserve">Figure </w:t>
                            </w:r>
                            <w:fldSimple w:instr=" SEQ Figure \* ARABIC ">
                              <w:r>
                                <w:rPr>
                                  <w:noProof/>
                                </w:rPr>
                                <w:t>19</w:t>
                              </w:r>
                            </w:fldSimple>
                            <w:r>
                              <w:t xml:space="preserve">: </w:t>
                            </w:r>
                            <w:r w:rsidRPr="00262939">
                              <w:rPr>
                                <w:iCs/>
                              </w:rPr>
                              <w:t xml:space="preserve"> </w:t>
                            </w:r>
                            <w:r w:rsidRPr="00CD3247">
                              <w:rPr>
                                <w:iCs/>
                              </w:rPr>
                              <w:t>Proposed 1983 Rezoning Map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CE54DA4" id="Text Box 35" o:spid="_x0000_s1034" type="#_x0000_t202" style="position:absolute;margin-left:0;margin-top:0;width:468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" stroked="f">
                <v:textbox inset="0,0,0,0">
                  <w:txbxContent>
                    <w:p w14:paraId="0CB92C6C" w14:textId="77777777" w:rsidR="006F646F" w:rsidRPr="007311EF" w:rsidRDefault="006F646F" w:rsidP="006F646F">
                      <w:pPr>
                        <w:pStyle w:val="Caption1"/>
                        <w:rPr>
                          <w:rFonts w:eastAsia="Calibri" w:cs="Times New Roman"/>
                          <w:noProof/>
                        </w:rPr>
                      </w:pPr>
                      <w:r>
                        <w:t xml:space="preserve">Figure </w:t>
                      </w:r>
                      <w:fldSimple w:instr=" SEQ Figure \* ARABIC ">
                        <w:r>
                          <w:rPr>
                            <w:noProof/>
                          </w:rPr>
                          <w:t>19</w:t>
                        </w:r>
                      </w:fldSimple>
                      <w:r>
                        <w:t xml:space="preserve">: </w:t>
                      </w:r>
                      <w:r w:rsidRPr="00262939">
                        <w:rPr>
                          <w:iCs/>
                        </w:rPr>
                        <w:t xml:space="preserve"> </w:t>
                      </w:r>
                      <w:r w:rsidRPr="00CD3247">
                        <w:rPr>
                          <w:iCs/>
                        </w:rPr>
                        <w:t>Proposed 1983 Rezoning Map</w:t>
                      </w:r>
                    </w:p>
                  </w:txbxContent>
                </v:textbox>
                <w10:wrap type="topAndBottom"/>
              </v:shape>
            </w:pict>
          </mc:Fallback>
        </mc:AlternateContent>
      </w:r>
    </w:p>
    <w:p w14:paraId="13800622" w14:textId="77777777" w:rsidR="006F646F" w:rsidRPr="0041791D" w:rsidRDefault="006F646F" w:rsidP="006F646F">
      <w:pPr>
        <w:keepNext/>
        <w:spacing w:line="240" w:lineRule="auto"/>
        <w:jc w:val="center"/>
        <w:rPr>
          <w:rFonts w:eastAsia="MS Mincho" w:cstheme="minorHAnsi"/>
          <w:b/>
          <w:bCs/>
          <w:color w:val="595959"/>
          <w:sz w:val="24"/>
          <w:szCs w:val="24"/>
        </w:rPr>
      </w:pPr>
      <w:r w:rsidRPr="0041791D">
        <w:rPr>
          <w:rFonts w:eastAsia="MS Mincho" w:cstheme="minorHAnsi"/>
          <w:b/>
          <w:bCs/>
          <w:color w:val="595959"/>
          <w:sz w:val="24"/>
          <w:szCs w:val="24"/>
        </w:rPr>
        <w:t xml:space="preserve">Figure </w:t>
      </w:r>
      <w:r>
        <w:rPr>
          <w:rFonts w:eastAsia="MS Mincho" w:cstheme="minorHAnsi"/>
          <w:b/>
          <w:bCs/>
          <w:color w:val="595959"/>
          <w:sz w:val="24"/>
          <w:szCs w:val="24"/>
        </w:rPr>
        <w:fldChar w:fldCharType="begin"/>
      </w:r>
      <w:r>
        <w:rPr>
          <w:rFonts w:eastAsia="MS Mincho" w:cstheme="minorHAnsi"/>
          <w:b/>
          <w:bCs/>
          <w:color w:val="595959"/>
          <w:sz w:val="24"/>
          <w:szCs w:val="24"/>
        </w:rPr>
        <w:instrText xml:space="preserve"> SEQ Figure \* ARABIC </w:instrText>
      </w:r>
      <w:r>
        <w:rPr>
          <w:rFonts w:eastAsia="MS Mincho" w:cstheme="minorHAnsi"/>
          <w:b/>
          <w:bCs/>
          <w:color w:val="595959"/>
          <w:sz w:val="24"/>
          <w:szCs w:val="24"/>
        </w:rPr>
        <w:fldChar w:fldCharType="separate"/>
      </w:r>
      <w:r>
        <w:rPr>
          <w:rFonts w:eastAsia="MS Mincho" w:cstheme="minorHAnsi"/>
          <w:b/>
          <w:bCs/>
          <w:noProof/>
          <w:color w:val="595959"/>
          <w:sz w:val="24"/>
          <w:szCs w:val="24"/>
        </w:rPr>
        <w:t>20</w:t>
      </w:r>
      <w:r>
        <w:rPr>
          <w:rFonts w:eastAsia="MS Mincho" w:cstheme="minorHAnsi"/>
          <w:b/>
          <w:bCs/>
          <w:color w:val="595959"/>
          <w:sz w:val="24"/>
          <w:szCs w:val="24"/>
        </w:rPr>
        <w:fldChar w:fldCharType="end"/>
      </w:r>
      <w:r w:rsidRPr="0041791D">
        <w:rPr>
          <w:rFonts w:eastAsia="MS Mincho" w:cstheme="minorHAnsi"/>
          <w:b/>
          <w:bCs/>
          <w:color w:val="595959"/>
          <w:sz w:val="24"/>
          <w:szCs w:val="24"/>
        </w:rPr>
        <w:t xml:space="preserve">: </w:t>
      </w:r>
      <w:r w:rsidRPr="0041791D">
        <w:rPr>
          <w:rFonts w:eastAsia="MS Mincho" w:cstheme="minorHAnsi"/>
          <w:b/>
          <w:bCs/>
          <w:iCs/>
          <w:color w:val="595959"/>
          <w:sz w:val="24"/>
          <w:szCs w:val="24"/>
        </w:rPr>
        <w:t>Zoning Map (2002 MOU)</w:t>
      </w:r>
    </w:p>
    <w:p w14:paraId="317813FA" w14:textId="77777777" w:rsidR="006F646F" w:rsidRPr="0041791D" w:rsidRDefault="006F646F" w:rsidP="006F646F">
      <w:pPr>
        <w:keepNext/>
        <w:rPr>
          <w:rFonts w:eastAsia="Calibri" w:cstheme="minorHAnsi"/>
          <w:sz w:val="24"/>
          <w:szCs w:val="24"/>
        </w:rPr>
      </w:pPr>
      <w:r w:rsidRPr="0041791D">
        <w:rPr>
          <w:rFonts w:eastAsia="Calibri" w:cstheme="minorHAnsi"/>
          <w:noProof/>
          <w:sz w:val="24"/>
          <w:szCs w:val="24"/>
        </w:rPr>
        <w:drawing>
          <wp:inline distT="0" distB="0" distL="0" distR="0" wp14:anchorId="12AEE995" wp14:editId="5B43A6C2">
            <wp:extent cx="3995928" cy="6163056"/>
            <wp:effectExtent l="40322" t="54928" r="45403" b="64452"/>
            <wp:docPr id="250361775" name="Picture 250361775" descr="A red and blue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61769" name="Picture 250361769" descr="A red and blue flag&#10;&#10;Description automatically generated with low confidence"/>
                    <pic:cNvPicPr/>
                  </pic:nvPicPr>
                  <pic:blipFill>
                    <a:blip r:embed="rId43"/>
                    <a:stretch>
                      <a:fillRect/>
                    </a:stretch>
                  </pic:blipFill>
                  <pic:spPr>
                    <a:xfrm rot="16140000">
                      <a:off x="0" y="0"/>
                      <a:ext cx="3995928" cy="6163056"/>
                    </a:xfrm>
                    <a:prstGeom prst="rect">
                      <a:avLst/>
                    </a:prstGeom>
                  </pic:spPr>
                </pic:pic>
              </a:graphicData>
            </a:graphic>
          </wp:inline>
        </w:drawing>
      </w:r>
    </w:p>
    <w:p w14:paraId="66A33E8D" w14:textId="77777777" w:rsidR="006F646F" w:rsidRPr="0041791D" w:rsidRDefault="006F646F" w:rsidP="006F646F">
      <w:pPr>
        <w:rPr>
          <w:rFonts w:eastAsia="Calibri" w:cstheme="minorHAnsi"/>
          <w:sz w:val="24"/>
          <w:szCs w:val="24"/>
        </w:rPr>
      </w:pPr>
    </w:p>
    <w:p w14:paraId="1FA3942C" w14:textId="77777777" w:rsidR="006F646F" w:rsidRPr="0041791D" w:rsidRDefault="006F646F" w:rsidP="006F646F">
      <w:pPr>
        <w:pStyle w:val="Heading3"/>
        <w:numPr>
          <w:ilvl w:val="0"/>
          <w:numId w:val="29"/>
        </w:numPr>
        <w:ind w:left="852" w:hanging="385"/>
        <w:rPr>
          <w:rFonts w:asciiTheme="minorHAnsi" w:hAnsiTheme="minorHAnsi" w:cstheme="minorHAnsi"/>
        </w:rPr>
      </w:pPr>
      <w:bookmarkStart w:id="204" w:name="_West_and_East"/>
      <w:bookmarkStart w:id="205" w:name="_Toc128666892"/>
      <w:bookmarkStart w:id="206" w:name="_Toc129256725"/>
      <w:bookmarkEnd w:id="204"/>
      <w:r w:rsidRPr="0041791D">
        <w:rPr>
          <w:rFonts w:asciiTheme="minorHAnsi" w:hAnsiTheme="minorHAnsi" w:cstheme="minorHAnsi"/>
        </w:rPr>
        <w:t>West and East Triangle Additions</w:t>
      </w:r>
      <w:bookmarkEnd w:id="205"/>
      <w:bookmarkEnd w:id="206"/>
    </w:p>
    <w:p w14:paraId="61781381"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Two landfill areas were added in 2002 and 2003:</w:t>
      </w:r>
    </w:p>
    <w:p w14:paraId="56912C8E" w14:textId="77777777" w:rsidR="006F646F" w:rsidRPr="0041791D" w:rsidRDefault="006F646F" w:rsidP="006F646F">
      <w:pPr>
        <w:numPr>
          <w:ilvl w:val="0"/>
          <w:numId w:val="20"/>
        </w:numPr>
        <w:contextualSpacing/>
        <w:rPr>
          <w:rFonts w:eastAsia="Calibri" w:cstheme="minorHAnsi"/>
          <w:sz w:val="24"/>
          <w:szCs w:val="24"/>
        </w:rPr>
      </w:pPr>
      <w:r w:rsidRPr="0041791D">
        <w:rPr>
          <w:rFonts w:eastAsia="Calibri" w:cstheme="minorHAnsi"/>
          <w:sz w:val="24"/>
          <w:szCs w:val="24"/>
        </w:rPr>
        <w:t>The “West Triangle” was approved for landfill activities via Conditional Use Permit in 2002.  This area is located on land zoned Forest Conservation (FC).  Approximately 3,400,000 yd</w:t>
      </w:r>
      <w:r w:rsidRPr="0041791D">
        <w:rPr>
          <w:rFonts w:eastAsia="Calibri" w:cstheme="minorHAnsi"/>
          <w:sz w:val="24"/>
          <w:szCs w:val="24"/>
          <w:vertAlign w:val="superscript"/>
        </w:rPr>
        <w:t>3</w:t>
      </w:r>
      <w:r w:rsidRPr="0041791D">
        <w:rPr>
          <w:rFonts w:eastAsia="Calibri" w:cstheme="minorHAnsi"/>
          <w:sz w:val="24"/>
          <w:szCs w:val="24"/>
        </w:rPr>
        <w:t xml:space="preserve"> of expected landfill capacity were added by the approval of the West Triangle.</w:t>
      </w:r>
    </w:p>
    <w:p w14:paraId="1A67249F" w14:textId="77777777" w:rsidR="006F646F" w:rsidRPr="0041791D" w:rsidRDefault="006F646F" w:rsidP="006F646F">
      <w:pPr>
        <w:numPr>
          <w:ilvl w:val="0"/>
          <w:numId w:val="20"/>
        </w:numPr>
        <w:contextualSpacing/>
        <w:rPr>
          <w:rFonts w:eastAsia="Calibri" w:cstheme="minorHAnsi"/>
          <w:sz w:val="24"/>
          <w:szCs w:val="24"/>
        </w:rPr>
      </w:pPr>
      <w:r w:rsidRPr="0041791D">
        <w:rPr>
          <w:rFonts w:eastAsia="Calibri" w:cstheme="minorHAnsi"/>
          <w:sz w:val="24"/>
          <w:szCs w:val="24"/>
        </w:rPr>
        <w:t>The “East Triangle” was approved for landfill activities via Conditional Use Permit in 2003.  This area is located on land zoned Forest Conservation (FC).  Approximately 5,600,000 yd</w:t>
      </w:r>
      <w:r w:rsidRPr="0041791D">
        <w:rPr>
          <w:rFonts w:eastAsia="Calibri" w:cstheme="minorHAnsi"/>
          <w:sz w:val="24"/>
          <w:szCs w:val="24"/>
          <w:vertAlign w:val="superscript"/>
        </w:rPr>
        <w:t>3</w:t>
      </w:r>
      <w:r w:rsidRPr="0041791D">
        <w:rPr>
          <w:rFonts w:eastAsia="Calibri" w:cstheme="minorHAnsi"/>
          <w:sz w:val="24"/>
          <w:szCs w:val="24"/>
        </w:rPr>
        <w:t xml:space="preserve"> of expected landfill capacity were added by the approval of the East Triangle.</w:t>
      </w:r>
    </w:p>
    <w:p w14:paraId="01F4A3DC"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See Benton County document PC-03-11 for details.</w:t>
      </w:r>
    </w:p>
    <w:p w14:paraId="213ED5F6"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Thus, a total of approximately 9,000,000 yd</w:t>
      </w:r>
      <w:r w:rsidRPr="0041791D">
        <w:rPr>
          <w:rFonts w:eastAsia="Calibri" w:cstheme="minorHAnsi"/>
          <w:sz w:val="24"/>
          <w:szCs w:val="24"/>
          <w:vertAlign w:val="superscript"/>
        </w:rPr>
        <w:t>3</w:t>
      </w:r>
      <w:r w:rsidRPr="0041791D">
        <w:rPr>
          <w:rFonts w:eastAsia="Calibri" w:cstheme="minorHAnsi"/>
          <w:sz w:val="24"/>
          <w:szCs w:val="24"/>
        </w:rPr>
        <w:t xml:space="preserve"> of landfill capacity was added in the 2002 – 2003 period.  This constituted an approximately </w:t>
      </w:r>
      <w:r w:rsidRPr="0041791D">
        <w:rPr>
          <w:rFonts w:eastAsia="Calibri" w:cstheme="minorHAnsi"/>
          <w:sz w:val="24"/>
          <w:szCs w:val="24"/>
          <w:u w:val="single"/>
        </w:rPr>
        <w:t>68.5% increase</w:t>
      </w:r>
      <w:r w:rsidRPr="0041791D">
        <w:rPr>
          <w:rFonts w:eastAsia="Calibri" w:cstheme="minorHAnsi"/>
          <w:sz w:val="24"/>
          <w:szCs w:val="24"/>
        </w:rPr>
        <w:t xml:space="preserve"> in total permitted capacity using the cell capacity figures shown in Table 3.1 of the Site Development Plan Amendment A2 in document PC-03-11.</w:t>
      </w:r>
    </w:p>
    <w:p w14:paraId="02A30A33" w14:textId="77777777" w:rsidR="006F646F" w:rsidRPr="0041791D" w:rsidRDefault="006F646F" w:rsidP="006F646F">
      <w:pPr>
        <w:pStyle w:val="Heading3"/>
        <w:numPr>
          <w:ilvl w:val="0"/>
          <w:numId w:val="29"/>
        </w:numPr>
        <w:ind w:left="852" w:hanging="385"/>
        <w:rPr>
          <w:rFonts w:asciiTheme="minorHAnsi" w:hAnsiTheme="minorHAnsi" w:cstheme="minorHAnsi"/>
        </w:rPr>
      </w:pPr>
      <w:bookmarkStart w:id="207" w:name="_Toc128666893"/>
      <w:bookmarkStart w:id="208" w:name="_Toc129256726"/>
      <w:bookmarkStart w:id="209" w:name="_Hlk129615507"/>
      <w:r w:rsidRPr="0041791D">
        <w:rPr>
          <w:rFonts w:asciiTheme="minorHAnsi" w:hAnsiTheme="minorHAnsi" w:cstheme="minorHAnsi"/>
        </w:rPr>
        <w:t>Cell 6 (Quarry) Addition</w:t>
      </w:r>
      <w:bookmarkEnd w:id="207"/>
      <w:bookmarkEnd w:id="208"/>
    </w:p>
    <w:bookmarkEnd w:id="209"/>
    <w:p w14:paraId="43CB0A1D" w14:textId="78579408" w:rsidR="006F646F" w:rsidRDefault="00734E50" w:rsidP="006F646F">
      <w:pPr>
        <w:ind w:left="360"/>
        <w:rPr>
          <w:rFonts w:eastAsia="Calibri" w:cstheme="minorHAnsi"/>
          <w:iCs/>
          <w:sz w:val="24"/>
          <w:szCs w:val="24"/>
        </w:rPr>
      </w:pPr>
      <w:r w:rsidRPr="00734E50">
        <w:rPr>
          <w:rFonts w:eastAsia="Calibri" w:cstheme="minorHAnsi"/>
          <w:iCs/>
          <w:sz w:val="24"/>
          <w:szCs w:val="24"/>
        </w:rPr>
        <w:t>Benton County staff are currently researching the Cell 6 approval date/status.</w:t>
      </w:r>
      <w:r w:rsidRPr="00734E50">
        <w:rPr>
          <w:rFonts w:eastAsia="Calibri" w:cstheme="minorHAnsi"/>
          <w:iCs/>
          <w:sz w:val="24"/>
          <w:szCs w:val="24"/>
        </w:rPr>
        <w:t xml:space="preserve"> </w:t>
      </w:r>
    </w:p>
    <w:p w14:paraId="52D6E5A6" w14:textId="77777777" w:rsidR="00297F08" w:rsidRPr="00734E50" w:rsidRDefault="00297F08" w:rsidP="006F646F">
      <w:pPr>
        <w:ind w:left="360"/>
        <w:rPr>
          <w:rFonts w:eastAsia="Calibri" w:cstheme="minorHAnsi"/>
          <w:iCs/>
          <w:sz w:val="24"/>
          <w:szCs w:val="24"/>
        </w:rPr>
      </w:pPr>
    </w:p>
    <w:p w14:paraId="5F4FCE3B" w14:textId="77777777" w:rsidR="006F646F" w:rsidRPr="0041791D" w:rsidRDefault="006F646F" w:rsidP="006F646F">
      <w:pPr>
        <w:pStyle w:val="Heading3"/>
        <w:numPr>
          <w:ilvl w:val="0"/>
          <w:numId w:val="29"/>
        </w:numPr>
        <w:ind w:left="852" w:hanging="385"/>
        <w:rPr>
          <w:rFonts w:asciiTheme="minorHAnsi" w:hAnsiTheme="minorHAnsi" w:cstheme="minorHAnsi"/>
        </w:rPr>
      </w:pPr>
      <w:bookmarkStart w:id="210" w:name="_Toc128666894"/>
      <w:bookmarkStart w:id="211" w:name="_Toc129256727"/>
      <w:r w:rsidRPr="0041791D">
        <w:rPr>
          <w:rFonts w:asciiTheme="minorHAnsi" w:hAnsiTheme="minorHAnsi" w:cstheme="minorHAnsi"/>
        </w:rPr>
        <w:t>LS Zone Parcel South of Coffin Butte Road</w:t>
      </w:r>
      <w:bookmarkEnd w:id="210"/>
      <w:bookmarkEnd w:id="211"/>
    </w:p>
    <w:p w14:paraId="13A79A28"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As part of the 1983 action considering the requests for rezoning of several parcels from Forest Conservation to Landfill Site, the Benton County Planning Department submitted a Staff Report.  Within this report (</w:t>
      </w:r>
      <w:commentRangeStart w:id="212"/>
      <w:commentRangeStart w:id="213"/>
      <w:r w:rsidRPr="0041791D">
        <w:rPr>
          <w:rFonts w:eastAsia="Calibri" w:cstheme="minorHAnsi"/>
          <w:sz w:val="24"/>
          <w:szCs w:val="24"/>
        </w:rPr>
        <w:t xml:space="preserve">Staff Report P2361/7 </w:t>
      </w:r>
      <w:commentRangeEnd w:id="212"/>
      <w:r w:rsidRPr="0041791D">
        <w:rPr>
          <w:rFonts w:eastAsia="Calibri" w:cstheme="minorHAnsi"/>
          <w:sz w:val="24"/>
          <w:szCs w:val="24"/>
        </w:rPr>
        <w:commentReference w:id="212"/>
      </w:r>
      <w:commentRangeEnd w:id="213"/>
      <w:r w:rsidRPr="0041791D">
        <w:rPr>
          <w:rFonts w:eastAsia="Calibri" w:cstheme="minorHAnsi"/>
          <w:sz w:val="24"/>
          <w:szCs w:val="24"/>
        </w:rPr>
        <w:commentReference w:id="213"/>
      </w:r>
      <w:r w:rsidRPr="0041791D">
        <w:rPr>
          <w:rFonts w:eastAsia="Calibri" w:cstheme="minorHAnsi"/>
          <w:sz w:val="24"/>
          <w:szCs w:val="24"/>
        </w:rPr>
        <w:t xml:space="preserve">Page 3; Benton County document PC-83-07 Page 13) a Staff Comments section </w:t>
      </w:r>
      <w:proofErr w:type="gramStart"/>
      <w:r w:rsidRPr="0041791D">
        <w:rPr>
          <w:rFonts w:eastAsia="Calibri" w:cstheme="minorHAnsi"/>
          <w:sz w:val="24"/>
          <w:szCs w:val="24"/>
        </w:rPr>
        <w:t>noted</w:t>
      </w:r>
      <w:proofErr w:type="gramEnd"/>
    </w:p>
    <w:p w14:paraId="1FD1B984" w14:textId="77777777" w:rsidR="006F646F" w:rsidRPr="00AD7273" w:rsidRDefault="006F646F" w:rsidP="006F646F">
      <w:pPr>
        <w:ind w:left="360"/>
        <w:rPr>
          <w:rFonts w:eastAsia="Calibri" w:cstheme="minorHAnsi"/>
          <w:sz w:val="24"/>
          <w:szCs w:val="24"/>
        </w:rPr>
      </w:pPr>
      <w:r w:rsidRPr="00AD7273">
        <w:rPr>
          <w:rFonts w:eastAsia="Calibri" w:cstheme="minorHAnsi"/>
          <w:sz w:val="24"/>
          <w:szCs w:val="24"/>
        </w:rPr>
        <w:t>“Benton County Solid Waste Advisory Council recommended approval of the requests [for rezoning] subject to two conditions:</w:t>
      </w:r>
    </w:p>
    <w:p w14:paraId="4BC6AD48" w14:textId="77777777" w:rsidR="006F646F" w:rsidRPr="00AD7273" w:rsidRDefault="006F646F" w:rsidP="006F646F">
      <w:pPr>
        <w:numPr>
          <w:ilvl w:val="0"/>
          <w:numId w:val="21"/>
        </w:numPr>
        <w:ind w:left="900"/>
        <w:contextualSpacing/>
        <w:rPr>
          <w:rFonts w:eastAsia="Calibri" w:cstheme="minorHAnsi"/>
          <w:sz w:val="24"/>
          <w:szCs w:val="24"/>
        </w:rPr>
      </w:pPr>
      <w:r w:rsidRPr="00AD7273">
        <w:rPr>
          <w:rFonts w:eastAsia="Calibri" w:cstheme="minorHAnsi"/>
          <w:sz w:val="24"/>
          <w:szCs w:val="24"/>
        </w:rPr>
        <w:t>No landfill be allowed on north face of Coffin Butte.</w:t>
      </w:r>
    </w:p>
    <w:p w14:paraId="1FF28311" w14:textId="77777777" w:rsidR="006F646F" w:rsidRPr="00AD7273" w:rsidRDefault="006F646F" w:rsidP="006F646F">
      <w:pPr>
        <w:numPr>
          <w:ilvl w:val="0"/>
          <w:numId w:val="21"/>
        </w:numPr>
        <w:ind w:left="900"/>
        <w:contextualSpacing/>
        <w:rPr>
          <w:rFonts w:eastAsia="Calibri" w:cstheme="minorHAnsi"/>
          <w:sz w:val="24"/>
          <w:szCs w:val="24"/>
        </w:rPr>
      </w:pPr>
      <w:r w:rsidRPr="00AD7273">
        <w:rPr>
          <w:rFonts w:eastAsia="Calibri" w:cstheme="minorHAnsi"/>
          <w:sz w:val="24"/>
          <w:szCs w:val="24"/>
        </w:rPr>
        <w:t>No landfill be allowed on property south of Coffin Butte Road [</w:t>
      </w:r>
      <w:proofErr w:type="spellStart"/>
      <w:r w:rsidRPr="00AD7273">
        <w:rPr>
          <w:rFonts w:eastAsia="Calibri" w:cstheme="minorHAnsi"/>
          <w:sz w:val="24"/>
          <w:szCs w:val="24"/>
        </w:rPr>
        <w:t>Taxlot</w:t>
      </w:r>
      <w:proofErr w:type="spellEnd"/>
      <w:r w:rsidRPr="00AD7273">
        <w:rPr>
          <w:rFonts w:eastAsia="Calibri" w:cstheme="minorHAnsi"/>
          <w:sz w:val="24"/>
          <w:szCs w:val="24"/>
        </w:rPr>
        <w:t xml:space="preserve"> </w:t>
      </w:r>
      <w:r w:rsidRPr="00AD7273">
        <w:rPr>
          <w:rFonts w:eastAsia="Times New Roman" w:cstheme="minorHAnsi"/>
          <w:sz w:val="24"/>
          <w:szCs w:val="24"/>
        </w:rPr>
        <w:t>104180001107, Index 14 in Appendix C]</w:t>
      </w:r>
      <w:r w:rsidRPr="00AD7273">
        <w:rPr>
          <w:rFonts w:eastAsia="Calibri" w:cstheme="minorHAnsi"/>
          <w:sz w:val="24"/>
          <w:szCs w:val="24"/>
        </w:rPr>
        <w:t>.</w:t>
      </w:r>
    </w:p>
    <w:p w14:paraId="359AE9D6" w14:textId="77777777" w:rsidR="006F646F" w:rsidRPr="00AD7273" w:rsidRDefault="006F646F" w:rsidP="006F646F">
      <w:pPr>
        <w:ind w:left="360"/>
        <w:rPr>
          <w:rFonts w:eastAsia="Calibri" w:cstheme="minorHAnsi"/>
          <w:sz w:val="24"/>
          <w:szCs w:val="24"/>
        </w:rPr>
      </w:pPr>
      <w:r w:rsidRPr="00AD7273">
        <w:rPr>
          <w:rFonts w:eastAsia="Calibri" w:cstheme="minorHAnsi"/>
          <w:sz w:val="24"/>
          <w:szCs w:val="24"/>
        </w:rPr>
        <w:t>These two conditions were also requested by the North Benton Citizens Advisory Committee (CAC</w:t>
      </w:r>
      <w:proofErr w:type="gramStart"/>
      <w:r w:rsidRPr="00AD7273">
        <w:rPr>
          <w:rFonts w:eastAsia="Calibri" w:cstheme="minorHAnsi"/>
          <w:sz w:val="24"/>
          <w:szCs w:val="24"/>
        </w:rPr>
        <w:t>)</w:t>
      </w:r>
      <w:proofErr w:type="gramEnd"/>
      <w:r w:rsidRPr="00AD7273">
        <w:rPr>
          <w:rFonts w:eastAsia="Calibri" w:cstheme="minorHAnsi"/>
          <w:sz w:val="24"/>
          <w:szCs w:val="24"/>
        </w:rPr>
        <w:t xml:space="preserve"> and they recommended approval of the requests.</w:t>
      </w:r>
    </w:p>
    <w:p w14:paraId="1309753C" w14:textId="77777777" w:rsidR="006F646F" w:rsidRPr="00AD7273" w:rsidRDefault="006F646F" w:rsidP="006F646F">
      <w:pPr>
        <w:ind w:left="360"/>
        <w:rPr>
          <w:rFonts w:eastAsia="Calibri" w:cstheme="minorHAnsi"/>
          <w:sz w:val="24"/>
          <w:szCs w:val="24"/>
        </w:rPr>
      </w:pPr>
      <w:r w:rsidRPr="00AD7273">
        <w:rPr>
          <w:rFonts w:eastAsia="Calibri" w:cstheme="minorHAnsi"/>
          <w:sz w:val="24"/>
          <w:szCs w:val="24"/>
        </w:rPr>
        <w:t>Staff concurs with these conditions.  The property on the North face of Coffin Butte (approximately 30 acres) should remain under the Comprehensive Plan Designation of Forestry Conservation (FC), from the crest of the butte North.”</w:t>
      </w:r>
    </w:p>
    <w:p w14:paraId="6CE34501" w14:textId="77777777" w:rsidR="006F646F" w:rsidRPr="00AD7273" w:rsidRDefault="006F646F" w:rsidP="006F646F">
      <w:pPr>
        <w:ind w:left="360"/>
        <w:rPr>
          <w:rFonts w:eastAsia="Calibri" w:cstheme="minorHAnsi"/>
          <w:sz w:val="24"/>
          <w:szCs w:val="24"/>
        </w:rPr>
      </w:pPr>
      <w:r w:rsidRPr="00AD7273">
        <w:rPr>
          <w:rFonts w:eastAsia="Calibri" w:cstheme="minorHAnsi"/>
          <w:sz w:val="24"/>
          <w:szCs w:val="24"/>
        </w:rPr>
        <w:t xml:space="preserve">However, the Benton County Planning Department Staff Report went on to </w:t>
      </w:r>
      <w:proofErr w:type="gramStart"/>
      <w:r w:rsidRPr="00AD7273">
        <w:rPr>
          <w:rFonts w:eastAsia="Calibri" w:cstheme="minorHAnsi"/>
          <w:sz w:val="24"/>
          <w:szCs w:val="24"/>
        </w:rPr>
        <w:t>state</w:t>
      </w:r>
      <w:proofErr w:type="gramEnd"/>
    </w:p>
    <w:p w14:paraId="65DB18C5" w14:textId="77777777" w:rsidR="006F646F" w:rsidRPr="00AD7273" w:rsidRDefault="006F646F" w:rsidP="006F646F">
      <w:pPr>
        <w:ind w:left="360"/>
        <w:rPr>
          <w:rFonts w:eastAsia="Calibri" w:cstheme="minorHAnsi"/>
          <w:sz w:val="24"/>
          <w:szCs w:val="24"/>
        </w:rPr>
      </w:pPr>
      <w:r w:rsidRPr="00AD7273">
        <w:rPr>
          <w:rFonts w:eastAsia="Calibri" w:cstheme="minorHAnsi"/>
          <w:sz w:val="24"/>
          <w:szCs w:val="24"/>
        </w:rPr>
        <w:t>“The other issue concerning the property south of Coffin Butte Road can be resolved through Conditions of Development placed on any approval of the site plan by the Planning Commission.  The proposed zone allows no additional landfill activities unless approved by the Planning Commission at a public hearing.  Therefore, the Commission may limit expansion into any area that is not appropriate for a landfill.”</w:t>
      </w:r>
    </w:p>
    <w:p w14:paraId="21521C81"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The staff recommendation was adopted as submitted by the Planning Commission in their April 26, </w:t>
      </w:r>
      <w:proofErr w:type="gramStart"/>
      <w:r w:rsidRPr="0041791D">
        <w:rPr>
          <w:rFonts w:eastAsia="Calibri" w:cstheme="minorHAnsi"/>
          <w:sz w:val="24"/>
          <w:szCs w:val="24"/>
        </w:rPr>
        <w:t>1983</w:t>
      </w:r>
      <w:proofErr w:type="gramEnd"/>
      <w:r w:rsidRPr="0041791D">
        <w:rPr>
          <w:rFonts w:eastAsia="Calibri" w:cstheme="minorHAnsi"/>
          <w:sz w:val="24"/>
          <w:szCs w:val="24"/>
        </w:rPr>
        <w:t xml:space="preserve"> meeting.  The Staff Report was expressly adopted as Finding 4(a) by the Benton County Board of Commissioners and incorporated into the resulting Order on June 15, 1983.</w:t>
      </w:r>
    </w:p>
    <w:p w14:paraId="661C39A8"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The </w:t>
      </w:r>
      <w:commentRangeStart w:id="214"/>
      <w:r w:rsidRPr="0041791D">
        <w:rPr>
          <w:rFonts w:eastAsia="Calibri" w:cstheme="minorHAnsi"/>
          <w:sz w:val="24"/>
          <w:szCs w:val="24"/>
        </w:rPr>
        <w:t xml:space="preserve">recommended </w:t>
      </w:r>
      <w:commentRangeEnd w:id="214"/>
      <w:r w:rsidRPr="0041791D">
        <w:rPr>
          <w:rFonts w:eastAsia="Calibri" w:cstheme="minorHAnsi"/>
          <w:sz w:val="24"/>
          <w:szCs w:val="24"/>
        </w:rPr>
        <w:commentReference w:id="214"/>
      </w:r>
      <w:r w:rsidRPr="0041791D">
        <w:rPr>
          <w:rFonts w:eastAsia="Calibri" w:cstheme="minorHAnsi"/>
          <w:sz w:val="24"/>
          <w:szCs w:val="24"/>
        </w:rPr>
        <w:t>approval of both SWAC and CAC for the 1983 rezoning action was conditioned on the agreement that no landfill would be allowed on the parcel south of Coffin Butte Road (</w:t>
      </w:r>
      <w:proofErr w:type="spellStart"/>
      <w:r w:rsidRPr="0041791D">
        <w:rPr>
          <w:rFonts w:eastAsia="Calibri" w:cstheme="minorHAnsi"/>
          <w:sz w:val="24"/>
          <w:szCs w:val="24"/>
        </w:rPr>
        <w:t>Taxlot</w:t>
      </w:r>
      <w:proofErr w:type="spellEnd"/>
      <w:r w:rsidRPr="0041791D">
        <w:rPr>
          <w:rFonts w:eastAsia="Calibri" w:cstheme="minorHAnsi"/>
          <w:sz w:val="24"/>
          <w:szCs w:val="24"/>
        </w:rPr>
        <w:t xml:space="preserve"> </w:t>
      </w:r>
      <w:r w:rsidRPr="0041791D">
        <w:rPr>
          <w:rFonts w:eastAsia="Times New Roman" w:cstheme="minorHAnsi"/>
          <w:color w:val="000000"/>
          <w:sz w:val="24"/>
          <w:szCs w:val="24"/>
        </w:rPr>
        <w:t>104180001107, Index #14 in Appendix C)</w:t>
      </w:r>
      <w:r w:rsidRPr="0041791D">
        <w:rPr>
          <w:rFonts w:eastAsia="Calibri" w:cstheme="minorHAnsi"/>
          <w:sz w:val="24"/>
          <w:szCs w:val="24"/>
        </w:rPr>
        <w:t>.</w:t>
      </w:r>
    </w:p>
    <w:p w14:paraId="63DCD618"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Thus, Benton County Planning staff modified the clear recommendation from the Solid Waste Advisory Council (SWAC) and the recommendation of the North Benton Citizens Advisory Committee by weakening the terms governing the property south of Coffin Butte Road from “No landfill be allowed” to “...no additional landfill activities unless approved by the Planning Commission at a public hearing.”  </w:t>
      </w:r>
    </w:p>
    <w:p w14:paraId="2A0E3E6C"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 xml:space="preserve">The </w:t>
      </w:r>
      <w:commentRangeStart w:id="215"/>
      <w:r w:rsidRPr="0041791D">
        <w:rPr>
          <w:rFonts w:eastAsia="Calibri" w:cstheme="minorHAnsi"/>
          <w:sz w:val="24"/>
          <w:szCs w:val="24"/>
        </w:rPr>
        <w:t>1983</w:t>
      </w:r>
      <w:commentRangeEnd w:id="215"/>
      <w:r w:rsidRPr="0041791D">
        <w:rPr>
          <w:rFonts w:eastAsia="Calibri" w:cstheme="minorHAnsi"/>
          <w:sz w:val="24"/>
          <w:szCs w:val="24"/>
        </w:rPr>
        <w:commentReference w:id="215"/>
      </w:r>
      <w:r w:rsidRPr="0041791D">
        <w:rPr>
          <w:rFonts w:eastAsia="Calibri" w:cstheme="minorHAnsi"/>
          <w:sz w:val="24"/>
          <w:szCs w:val="24"/>
        </w:rPr>
        <w:t xml:space="preserve"> rezoning ordinance (Ord. 26I) stated that “Any proposal to expand the area approved for landfill must be reviewed and approved by the Planning Commission at a Public Hearing.”  No mention of a Conditional Use Permit process was stated in this ordinance as part of the process for expanding landfill area.</w:t>
      </w:r>
    </w:p>
    <w:p w14:paraId="7F7D77B1" w14:textId="77777777" w:rsidR="006F646F" w:rsidRPr="0041791D" w:rsidRDefault="006F646F" w:rsidP="006F646F">
      <w:pPr>
        <w:ind w:left="360"/>
        <w:rPr>
          <w:rFonts w:eastAsia="Calibri" w:cstheme="minorHAnsi"/>
          <w:sz w:val="24"/>
          <w:szCs w:val="24"/>
        </w:rPr>
      </w:pPr>
      <w:r w:rsidRPr="0041791D">
        <w:rPr>
          <w:rFonts w:eastAsia="Calibri" w:cstheme="minorHAnsi"/>
          <w:sz w:val="24"/>
          <w:szCs w:val="24"/>
        </w:rPr>
        <w:t>Per the Benton County Code Chapter 77 (77.305), “Any proposal to expand the area approved for landfill within the Landfill Size Zone is allowed by conditional use permit approved by the Planning Commission.”  This change is apparently a result of Ord. 90-0069.  The introduction of the conditional use permit process allows review and/or de novo judgement by the Board of Commissioners, as opposed to a final decision by the Planning Commission.</w:t>
      </w:r>
    </w:p>
    <w:p w14:paraId="0B65C5ED" w14:textId="77777777" w:rsidR="006F646F" w:rsidRPr="0041791D" w:rsidRDefault="006F646F" w:rsidP="006F646F">
      <w:pPr>
        <w:rPr>
          <w:rFonts w:eastAsia="Times New Roman" w:cstheme="minorHAnsi"/>
          <w:color w:val="2E74B5"/>
          <w:sz w:val="24"/>
          <w:szCs w:val="24"/>
        </w:rPr>
      </w:pPr>
      <w:r w:rsidRPr="0041791D">
        <w:rPr>
          <w:rFonts w:eastAsia="Calibri" w:cstheme="minorHAnsi"/>
          <w:sz w:val="24"/>
          <w:szCs w:val="24"/>
        </w:rPr>
        <w:br w:type="page"/>
      </w:r>
    </w:p>
    <w:p w14:paraId="5A66DC0E" w14:textId="77777777" w:rsidR="006F646F" w:rsidRPr="0041791D" w:rsidRDefault="006F646F" w:rsidP="006F646F">
      <w:pPr>
        <w:pStyle w:val="Heading2"/>
        <w:rPr>
          <w:rFonts w:asciiTheme="minorHAnsi" w:hAnsiTheme="minorHAnsi" w:cstheme="minorHAnsi"/>
          <w:sz w:val="24"/>
          <w:szCs w:val="24"/>
        </w:rPr>
      </w:pPr>
      <w:bookmarkStart w:id="216" w:name="_Toc128666895"/>
      <w:bookmarkStart w:id="217" w:name="_Toc129256728"/>
      <w:r w:rsidRPr="0041791D">
        <w:rPr>
          <w:rFonts w:asciiTheme="minorHAnsi" w:hAnsiTheme="minorHAnsi" w:cstheme="minorHAnsi"/>
          <w:sz w:val="24"/>
          <w:szCs w:val="24"/>
        </w:rPr>
        <w:t>Section 3: Landfill Life Projections</w:t>
      </w:r>
      <w:bookmarkEnd w:id="216"/>
      <w:bookmarkEnd w:id="217"/>
    </w:p>
    <w:p w14:paraId="3714DF73" w14:textId="77777777" w:rsidR="006F646F" w:rsidRPr="0041791D" w:rsidRDefault="006F646F" w:rsidP="006F646F">
      <w:pPr>
        <w:pStyle w:val="Heading3"/>
        <w:numPr>
          <w:ilvl w:val="0"/>
          <w:numId w:val="30"/>
        </w:numPr>
        <w:tabs>
          <w:tab w:val="num" w:pos="360"/>
        </w:tabs>
        <w:rPr>
          <w:rFonts w:asciiTheme="minorHAnsi" w:hAnsiTheme="minorHAnsi" w:cstheme="minorHAnsi"/>
        </w:rPr>
      </w:pPr>
      <w:bookmarkStart w:id="218" w:name="_Toc128666896"/>
      <w:bookmarkStart w:id="219" w:name="_Toc129256729"/>
      <w:commentRangeStart w:id="220"/>
      <w:r w:rsidRPr="0041791D">
        <w:rPr>
          <w:rFonts w:asciiTheme="minorHAnsi" w:eastAsia="Calibri" w:hAnsiTheme="minorHAnsi" w:cstheme="minorHAnsi"/>
        </w:rPr>
        <w:t>Waste in Place</w:t>
      </w:r>
      <w:commentRangeEnd w:id="220"/>
      <w:r w:rsidRPr="0041791D">
        <w:rPr>
          <w:rFonts w:asciiTheme="minorHAnsi" w:eastAsia="Calibri" w:hAnsiTheme="minorHAnsi" w:cstheme="minorHAnsi"/>
        </w:rPr>
        <w:commentReference w:id="220"/>
      </w:r>
      <w:r w:rsidRPr="0041791D">
        <w:rPr>
          <w:rFonts w:asciiTheme="minorHAnsi" w:hAnsiTheme="minorHAnsi" w:cstheme="minorHAnsi"/>
        </w:rPr>
        <w:t>: Projection to End 2022</w:t>
      </w:r>
      <w:bookmarkEnd w:id="218"/>
      <w:bookmarkEnd w:id="219"/>
    </w:p>
    <w:p w14:paraId="36CD1ADD" w14:textId="77777777" w:rsidR="006F646F" w:rsidRPr="0041791D" w:rsidRDefault="006F646F" w:rsidP="006F646F">
      <w:pPr>
        <w:rPr>
          <w:rFonts w:eastAsia="Calibri" w:cstheme="minorHAnsi"/>
          <w:bCs/>
          <w:sz w:val="24"/>
          <w:szCs w:val="24"/>
        </w:rPr>
      </w:pPr>
      <w:commentRangeStart w:id="221"/>
      <w:r w:rsidRPr="0041791D">
        <w:rPr>
          <w:rFonts w:eastAsia="Calibri" w:cstheme="minorHAnsi"/>
          <w:bCs/>
          <w:sz w:val="24"/>
          <w:szCs w:val="24"/>
        </w:rPr>
        <w:t>Coffin Butt</w:t>
      </w:r>
      <w:commentRangeEnd w:id="221"/>
      <w:r w:rsidRPr="0041791D">
        <w:rPr>
          <w:rFonts w:eastAsia="Calibri" w:cstheme="minorHAnsi"/>
          <w:sz w:val="24"/>
          <w:szCs w:val="24"/>
        </w:rPr>
        <w:commentReference w:id="221"/>
      </w:r>
      <w:r w:rsidRPr="0041791D">
        <w:rPr>
          <w:rFonts w:eastAsia="Calibri" w:cstheme="minorHAnsi"/>
          <w:bCs/>
          <w:sz w:val="24"/>
          <w:szCs w:val="24"/>
        </w:rPr>
        <w:t>e Landfill’s 2022 intake volume has not yet been finalized, so we are using the projected figure of 1 million tons. As such, we are projecting the Landfill’s remaining permitted airspace to be 16,008,557 cubic yards. As noted in the subcommittee’s findings, remaining permitted airspace is not available airspace. A significant portion of what’s permitted is not currently useable to unexcavated rock.</w:t>
      </w:r>
    </w:p>
    <w:p w14:paraId="758C7330" w14:textId="77777777" w:rsidR="006F646F" w:rsidRPr="0041791D" w:rsidRDefault="006F646F" w:rsidP="006F646F">
      <w:pPr>
        <w:rPr>
          <w:rFonts w:eastAsia="Calibri" w:cstheme="minorHAnsi"/>
          <w:bCs/>
          <w:sz w:val="24"/>
          <w:szCs w:val="24"/>
        </w:rPr>
      </w:pPr>
      <w:r w:rsidRPr="0041791D">
        <w:rPr>
          <w:rFonts w:eastAsia="Calibri" w:cstheme="minorHAnsi"/>
          <w:bCs/>
          <w:sz w:val="24"/>
          <w:szCs w:val="24"/>
        </w:rPr>
        <w:t>This section of the report will first look at historical end of life projections and then try to address future scenarios.</w:t>
      </w:r>
    </w:p>
    <w:p w14:paraId="282BEFA6" w14:textId="77777777" w:rsidR="006F646F" w:rsidRPr="0041791D" w:rsidRDefault="006F646F" w:rsidP="006F646F">
      <w:pPr>
        <w:rPr>
          <w:rFonts w:eastAsia="Calibri" w:cstheme="minorHAnsi"/>
          <w:sz w:val="24"/>
          <w:szCs w:val="24"/>
        </w:rPr>
      </w:pPr>
    </w:p>
    <w:p w14:paraId="38958CD8" w14:textId="77777777" w:rsidR="006F646F" w:rsidRPr="0041791D" w:rsidRDefault="006F646F" w:rsidP="006F646F">
      <w:pPr>
        <w:pStyle w:val="Heading3"/>
        <w:numPr>
          <w:ilvl w:val="0"/>
          <w:numId w:val="30"/>
        </w:numPr>
        <w:tabs>
          <w:tab w:val="num" w:pos="360"/>
        </w:tabs>
        <w:rPr>
          <w:rFonts w:asciiTheme="minorHAnsi" w:hAnsiTheme="minorHAnsi" w:cstheme="minorHAnsi"/>
        </w:rPr>
      </w:pPr>
      <w:bookmarkStart w:id="222" w:name="_Toc128666897"/>
      <w:bookmarkStart w:id="223" w:name="_Toc129256730"/>
      <w:r w:rsidRPr="0041791D">
        <w:rPr>
          <w:rFonts w:asciiTheme="minorHAnsi" w:hAnsiTheme="minorHAnsi" w:cstheme="minorHAnsi"/>
        </w:rPr>
        <w:t xml:space="preserve">Historical Landfill </w:t>
      </w:r>
      <w:commentRangeStart w:id="224"/>
      <w:r w:rsidRPr="0041791D">
        <w:rPr>
          <w:rFonts w:asciiTheme="minorHAnsi" w:hAnsiTheme="minorHAnsi" w:cstheme="minorHAnsi"/>
        </w:rPr>
        <w:t>Life</w:t>
      </w:r>
      <w:commentRangeEnd w:id="224"/>
      <w:r w:rsidRPr="0041791D">
        <w:rPr>
          <w:rFonts w:asciiTheme="minorHAnsi" w:eastAsia="Calibri" w:hAnsiTheme="minorHAnsi" w:cstheme="minorHAnsi"/>
        </w:rPr>
        <w:commentReference w:id="224"/>
      </w:r>
      <w:r w:rsidRPr="0041791D">
        <w:rPr>
          <w:rFonts w:asciiTheme="minorHAnsi" w:hAnsiTheme="minorHAnsi" w:cstheme="minorHAnsi"/>
        </w:rPr>
        <w:t xml:space="preserve"> Projections</w:t>
      </w:r>
      <w:bookmarkEnd w:id="222"/>
      <w:bookmarkEnd w:id="223"/>
    </w:p>
    <w:p w14:paraId="5C4916A1" w14:textId="77777777" w:rsidR="006F646F" w:rsidRPr="0041791D" w:rsidRDefault="006F646F" w:rsidP="006F646F">
      <w:pPr>
        <w:jc w:val="center"/>
        <w:rPr>
          <w:rFonts w:eastAsia="Calibri" w:cstheme="minorHAnsi"/>
          <w:sz w:val="24"/>
          <w:szCs w:val="24"/>
        </w:rPr>
      </w:pPr>
      <w:r w:rsidRPr="0041791D">
        <w:rPr>
          <w:rFonts w:eastAsia="Calibri" w:cstheme="minorHAnsi"/>
          <w:sz w:val="24"/>
          <w:szCs w:val="24"/>
        </w:rPr>
        <w:t xml:space="preserve">Figure </w:t>
      </w:r>
      <w:r>
        <w:rPr>
          <w:rFonts w:eastAsia="Calibri" w:cstheme="minorHAnsi"/>
          <w:sz w:val="24"/>
          <w:szCs w:val="24"/>
        </w:rPr>
        <w:fldChar w:fldCharType="begin"/>
      </w:r>
      <w:r>
        <w:rPr>
          <w:rFonts w:eastAsia="Calibri" w:cstheme="minorHAnsi"/>
          <w:sz w:val="24"/>
          <w:szCs w:val="24"/>
        </w:rPr>
        <w:instrText xml:space="preserve"> SEQ Figure \* ARABIC </w:instrText>
      </w:r>
      <w:r>
        <w:rPr>
          <w:rFonts w:eastAsia="Calibri" w:cstheme="minorHAnsi"/>
          <w:sz w:val="24"/>
          <w:szCs w:val="24"/>
        </w:rPr>
        <w:fldChar w:fldCharType="separate"/>
      </w:r>
      <w:r>
        <w:rPr>
          <w:rFonts w:eastAsia="Calibri" w:cstheme="minorHAnsi"/>
          <w:noProof/>
          <w:sz w:val="24"/>
          <w:szCs w:val="24"/>
        </w:rPr>
        <w:t>21</w:t>
      </w:r>
      <w:r>
        <w:rPr>
          <w:rFonts w:eastAsia="Calibri" w:cstheme="minorHAnsi"/>
          <w:sz w:val="24"/>
          <w:szCs w:val="24"/>
        </w:rPr>
        <w:fldChar w:fldCharType="end"/>
      </w:r>
      <w:r w:rsidRPr="0041791D">
        <w:rPr>
          <w:rFonts w:eastAsia="Calibri" w:cstheme="minorHAnsi"/>
          <w:sz w:val="24"/>
          <w:szCs w:val="24"/>
        </w:rPr>
        <w:t xml:space="preserve">: Historical EOL Projections (source: </w:t>
      </w:r>
      <w:hyperlink r:id="rId44" w:history="1">
        <w:r w:rsidRPr="0041791D">
          <w:rPr>
            <w:rFonts w:eastAsia="Calibri" w:cstheme="minorHAnsi"/>
            <w:color w:val="0563C1"/>
            <w:sz w:val="24"/>
            <w:szCs w:val="24"/>
            <w:u w:val="single"/>
          </w:rPr>
          <w:t>Landfill Annual Reports</w:t>
        </w:r>
      </w:hyperlink>
      <w:r w:rsidRPr="0041791D">
        <w:rPr>
          <w:rFonts w:eastAsia="Calibri" w:cstheme="minorHAnsi"/>
          <w:sz w:val="24"/>
          <w:szCs w:val="24"/>
        </w:rPr>
        <w:t>)</w:t>
      </w:r>
    </w:p>
    <w:p w14:paraId="7AF6085C" w14:textId="77777777" w:rsidR="006F646F" w:rsidRPr="0041791D" w:rsidRDefault="006F646F" w:rsidP="006F646F">
      <w:pPr>
        <w:rPr>
          <w:rFonts w:cstheme="minorHAnsi"/>
          <w:sz w:val="24"/>
          <w:szCs w:val="24"/>
        </w:rPr>
      </w:pPr>
      <w:r w:rsidRPr="0041791D">
        <w:rPr>
          <w:rFonts w:cstheme="minorHAnsi"/>
          <w:noProof/>
          <w:sz w:val="24"/>
          <w:szCs w:val="24"/>
        </w:rPr>
        <w:drawing>
          <wp:inline distT="0" distB="0" distL="0" distR="0" wp14:anchorId="4D615211" wp14:editId="29963E1A">
            <wp:extent cx="6217920" cy="4200525"/>
            <wp:effectExtent l="0" t="0" r="11430" b="9525"/>
            <wp:docPr id="1" name="Chart 1">
              <a:extLst xmlns:a="http://schemas.openxmlformats.org/drawingml/2006/main">
                <a:ext uri="{FF2B5EF4-FFF2-40B4-BE49-F238E27FC236}">
                  <a16:creationId xmlns:a16="http://schemas.microsoft.com/office/drawing/2014/main" id="{3EBF81ED-0A62-44E0-ABC9-CBF28A2C75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BABA483" w14:textId="50D59437" w:rsidR="006F646F" w:rsidRDefault="006F646F" w:rsidP="006F646F">
      <w:pPr>
        <w:rPr>
          <w:rFonts w:eastAsia="Times New Roman" w:cstheme="minorHAnsi"/>
          <w:color w:val="2E74B5"/>
          <w:sz w:val="24"/>
          <w:szCs w:val="24"/>
        </w:rPr>
      </w:pPr>
    </w:p>
    <w:p w14:paraId="2CA3CFAF" w14:textId="77777777" w:rsidR="00AD7273" w:rsidRPr="0041791D" w:rsidRDefault="00AD7273" w:rsidP="006F646F">
      <w:pPr>
        <w:rPr>
          <w:rFonts w:eastAsia="Times New Roman" w:cstheme="minorHAnsi"/>
          <w:color w:val="2E74B5"/>
          <w:sz w:val="24"/>
          <w:szCs w:val="24"/>
        </w:rPr>
      </w:pPr>
    </w:p>
    <w:p w14:paraId="12D30F6F" w14:textId="77777777" w:rsidR="006F646F" w:rsidRPr="0041791D" w:rsidRDefault="006F646F" w:rsidP="006F646F">
      <w:pPr>
        <w:keepNext/>
        <w:spacing w:line="240" w:lineRule="auto"/>
        <w:jc w:val="center"/>
        <w:rPr>
          <w:rFonts w:eastAsia="Calibri" w:cstheme="minorHAnsi"/>
          <w:b/>
          <w:bCs/>
          <w:color w:val="595959"/>
          <w:sz w:val="24"/>
          <w:szCs w:val="24"/>
        </w:rPr>
      </w:pPr>
      <w:r w:rsidRPr="0041791D">
        <w:rPr>
          <w:rFonts w:eastAsia="MS Mincho" w:cstheme="minorHAnsi"/>
          <w:b/>
          <w:bCs/>
          <w:color w:val="595959"/>
          <w:sz w:val="24"/>
          <w:szCs w:val="24"/>
        </w:rPr>
        <w:t xml:space="preserve">Table </w:t>
      </w:r>
      <w:r w:rsidRPr="0041791D">
        <w:rPr>
          <w:rFonts w:eastAsia="MS Mincho" w:cstheme="minorHAnsi"/>
          <w:b/>
          <w:bCs/>
          <w:color w:val="595959"/>
          <w:sz w:val="24"/>
          <w:szCs w:val="24"/>
        </w:rPr>
        <w:fldChar w:fldCharType="begin"/>
      </w:r>
      <w:r w:rsidRPr="0041791D">
        <w:rPr>
          <w:rFonts w:eastAsia="MS Mincho" w:cstheme="minorHAnsi"/>
          <w:b/>
          <w:bCs/>
          <w:color w:val="595959"/>
          <w:sz w:val="24"/>
          <w:szCs w:val="24"/>
        </w:rPr>
        <w:instrText xml:space="preserve"> SEQ Table \* ARABIC </w:instrText>
      </w:r>
      <w:r w:rsidRPr="0041791D">
        <w:rPr>
          <w:rFonts w:eastAsia="MS Mincho" w:cstheme="minorHAnsi"/>
          <w:b/>
          <w:bCs/>
          <w:color w:val="595959"/>
          <w:sz w:val="24"/>
          <w:szCs w:val="24"/>
        </w:rPr>
        <w:fldChar w:fldCharType="separate"/>
      </w:r>
      <w:r w:rsidRPr="0041791D">
        <w:rPr>
          <w:rFonts w:eastAsia="MS Mincho" w:cstheme="minorHAnsi"/>
          <w:b/>
          <w:bCs/>
          <w:noProof/>
          <w:color w:val="595959"/>
          <w:sz w:val="24"/>
          <w:szCs w:val="24"/>
        </w:rPr>
        <w:t>5</w:t>
      </w:r>
      <w:r w:rsidRPr="0041791D">
        <w:rPr>
          <w:rFonts w:eastAsia="MS Mincho" w:cstheme="minorHAnsi"/>
          <w:b/>
          <w:bCs/>
          <w:noProof/>
          <w:color w:val="595959"/>
          <w:sz w:val="24"/>
          <w:szCs w:val="24"/>
        </w:rPr>
        <w:fldChar w:fldCharType="end"/>
      </w:r>
      <w:r w:rsidRPr="0041791D">
        <w:rPr>
          <w:rFonts w:eastAsia="MS Mincho" w:cstheme="minorHAnsi"/>
          <w:b/>
          <w:bCs/>
          <w:color w:val="595959"/>
          <w:sz w:val="24"/>
          <w:szCs w:val="24"/>
        </w:rPr>
        <w:t xml:space="preserve">: </w:t>
      </w:r>
      <w:r w:rsidRPr="0041791D">
        <w:rPr>
          <w:rFonts w:eastAsia="Calibri" w:cstheme="minorHAnsi"/>
          <w:b/>
          <w:bCs/>
          <w:color w:val="595959"/>
          <w:sz w:val="24"/>
          <w:szCs w:val="24"/>
        </w:rPr>
        <w:t>Historical EOL Projections</w:t>
      </w:r>
    </w:p>
    <w:tbl>
      <w:tblPr>
        <w:tblStyle w:val="TableGrid3"/>
        <w:tblW w:w="0" w:type="auto"/>
        <w:jc w:val="center"/>
        <w:tblLook w:val="04A0" w:firstRow="1" w:lastRow="0" w:firstColumn="1" w:lastColumn="0" w:noHBand="0" w:noVBand="1"/>
      </w:tblPr>
      <w:tblGrid>
        <w:gridCol w:w="2283"/>
        <w:gridCol w:w="2869"/>
        <w:gridCol w:w="4198"/>
      </w:tblGrid>
      <w:tr w:rsidR="006F646F" w:rsidRPr="0041791D" w14:paraId="5E992980" w14:textId="77777777" w:rsidTr="00734E50">
        <w:trPr>
          <w:trHeight w:val="432"/>
          <w:jc w:val="center"/>
        </w:trPr>
        <w:tc>
          <w:tcPr>
            <w:tcW w:w="2283" w:type="dxa"/>
            <w:vAlign w:val="center"/>
          </w:tcPr>
          <w:p w14:paraId="4603C0A2" w14:textId="77777777" w:rsidR="006F646F" w:rsidRPr="0041791D" w:rsidRDefault="006F646F" w:rsidP="00CD02A5">
            <w:pPr>
              <w:spacing w:after="120"/>
              <w:jc w:val="center"/>
              <w:rPr>
                <w:rFonts w:asciiTheme="minorHAnsi" w:eastAsia="Calibri" w:hAnsiTheme="minorHAnsi" w:cstheme="minorHAnsi"/>
                <w:b/>
                <w:sz w:val="24"/>
                <w:szCs w:val="24"/>
              </w:rPr>
            </w:pPr>
            <w:r w:rsidRPr="0041791D">
              <w:rPr>
                <w:rFonts w:asciiTheme="minorHAnsi" w:eastAsia="Calibri" w:hAnsiTheme="minorHAnsi" w:cstheme="minorHAnsi"/>
                <w:b/>
                <w:sz w:val="24"/>
                <w:szCs w:val="24"/>
              </w:rPr>
              <w:t>Date of Projection</w:t>
            </w:r>
          </w:p>
        </w:tc>
        <w:tc>
          <w:tcPr>
            <w:tcW w:w="2869" w:type="dxa"/>
            <w:vAlign w:val="center"/>
          </w:tcPr>
          <w:p w14:paraId="1901E03E" w14:textId="77777777" w:rsidR="006F646F" w:rsidRPr="0041791D" w:rsidRDefault="006F646F" w:rsidP="00CD02A5">
            <w:pPr>
              <w:spacing w:after="120"/>
              <w:jc w:val="center"/>
              <w:rPr>
                <w:rFonts w:asciiTheme="minorHAnsi" w:eastAsia="Calibri" w:hAnsiTheme="minorHAnsi" w:cstheme="minorHAnsi"/>
                <w:b/>
                <w:sz w:val="24"/>
                <w:szCs w:val="24"/>
              </w:rPr>
            </w:pPr>
            <w:r w:rsidRPr="0041791D">
              <w:rPr>
                <w:rFonts w:asciiTheme="minorHAnsi" w:eastAsia="Calibri" w:hAnsiTheme="minorHAnsi" w:cstheme="minorHAnsi"/>
                <w:b/>
                <w:sz w:val="24"/>
                <w:szCs w:val="24"/>
              </w:rPr>
              <w:t>Projected EOL (CY)</w:t>
            </w:r>
          </w:p>
        </w:tc>
        <w:tc>
          <w:tcPr>
            <w:tcW w:w="4198" w:type="dxa"/>
            <w:vAlign w:val="center"/>
          </w:tcPr>
          <w:p w14:paraId="780478BF" w14:textId="77777777" w:rsidR="006F646F" w:rsidRPr="0041791D" w:rsidRDefault="006F646F" w:rsidP="00CD02A5">
            <w:pPr>
              <w:spacing w:after="120"/>
              <w:rPr>
                <w:rFonts w:asciiTheme="minorHAnsi" w:eastAsia="Calibri" w:hAnsiTheme="minorHAnsi" w:cstheme="minorHAnsi"/>
                <w:b/>
                <w:sz w:val="24"/>
                <w:szCs w:val="24"/>
              </w:rPr>
            </w:pPr>
            <w:r w:rsidRPr="0041791D">
              <w:rPr>
                <w:rFonts w:asciiTheme="minorHAnsi" w:eastAsia="Calibri" w:hAnsiTheme="minorHAnsi" w:cstheme="minorHAnsi"/>
                <w:b/>
                <w:sz w:val="24"/>
                <w:szCs w:val="24"/>
              </w:rPr>
              <w:t>Reference/Comment</w:t>
            </w:r>
          </w:p>
        </w:tc>
      </w:tr>
      <w:tr w:rsidR="006F646F" w:rsidRPr="0041791D" w14:paraId="713104C1" w14:textId="77777777" w:rsidTr="00734E50">
        <w:trPr>
          <w:trHeight w:val="432"/>
          <w:jc w:val="center"/>
        </w:trPr>
        <w:tc>
          <w:tcPr>
            <w:tcW w:w="2283" w:type="dxa"/>
            <w:vAlign w:val="center"/>
          </w:tcPr>
          <w:p w14:paraId="34DA05EB"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1974</w:t>
            </w:r>
          </w:p>
        </w:tc>
        <w:tc>
          <w:tcPr>
            <w:tcW w:w="2869" w:type="dxa"/>
            <w:vAlign w:val="center"/>
          </w:tcPr>
          <w:p w14:paraId="2B21C9DC" w14:textId="77777777" w:rsidR="006F646F" w:rsidRPr="0041791D" w:rsidRDefault="006F646F" w:rsidP="00CD02A5">
            <w:pPr>
              <w:spacing w:after="120"/>
              <w:jc w:val="center"/>
              <w:rPr>
                <w:rFonts w:asciiTheme="minorHAnsi" w:eastAsia="Calibri" w:hAnsiTheme="minorHAnsi" w:cstheme="minorHAnsi"/>
                <w:sz w:val="24"/>
                <w:szCs w:val="24"/>
              </w:rPr>
            </w:pPr>
            <w:commentRangeStart w:id="225"/>
            <w:commentRangeStart w:id="226"/>
            <w:commentRangeStart w:id="227"/>
            <w:commentRangeEnd w:id="225"/>
            <w:r w:rsidRPr="0041791D">
              <w:rPr>
                <w:rFonts w:asciiTheme="minorHAnsi" w:eastAsia="Calibri" w:hAnsiTheme="minorHAnsi" w:cstheme="minorHAnsi"/>
                <w:sz w:val="24"/>
                <w:szCs w:val="24"/>
              </w:rPr>
              <w:commentReference w:id="225"/>
            </w:r>
            <w:commentRangeEnd w:id="226"/>
            <w:r w:rsidRPr="0041791D">
              <w:rPr>
                <w:rFonts w:asciiTheme="minorHAnsi" w:eastAsia="Calibri" w:hAnsiTheme="minorHAnsi" w:cstheme="minorHAnsi"/>
                <w:sz w:val="24"/>
                <w:szCs w:val="24"/>
              </w:rPr>
              <w:commentReference w:id="226"/>
            </w:r>
            <w:commentRangeEnd w:id="227"/>
            <w:r w:rsidRPr="0041791D">
              <w:rPr>
                <w:rFonts w:asciiTheme="minorHAnsi" w:eastAsia="Calibri" w:hAnsiTheme="minorHAnsi" w:cstheme="minorHAnsi"/>
                <w:sz w:val="24"/>
                <w:szCs w:val="24"/>
              </w:rPr>
              <w:commentReference w:id="227"/>
            </w: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1989-2004+</w:t>
            </w:r>
          </w:p>
        </w:tc>
        <w:tc>
          <w:tcPr>
            <w:tcW w:w="4198" w:type="dxa"/>
            <w:vAlign w:val="center"/>
          </w:tcPr>
          <w:p w14:paraId="4A49CD52"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 xml:space="preserve">February 19, </w:t>
            </w:r>
            <w:proofErr w:type="gramStart"/>
            <w:r w:rsidRPr="0041791D">
              <w:rPr>
                <w:rFonts w:asciiTheme="minorHAnsi" w:eastAsia="Calibri" w:hAnsiTheme="minorHAnsi" w:cstheme="minorHAnsi"/>
                <w:sz w:val="24"/>
                <w:szCs w:val="24"/>
              </w:rPr>
              <w:t>1974</w:t>
            </w:r>
            <w:proofErr w:type="gramEnd"/>
            <w:r w:rsidRPr="0041791D">
              <w:rPr>
                <w:rFonts w:asciiTheme="minorHAnsi" w:eastAsia="Calibri" w:hAnsiTheme="minorHAnsi" w:cstheme="minorHAnsi"/>
                <w:sz w:val="24"/>
                <w:szCs w:val="24"/>
              </w:rPr>
              <w:t xml:space="preserve"> Planning Commission Public Hearing Minutes (CP-74-01)</w:t>
            </w:r>
          </w:p>
          <w:p w14:paraId="0C5698CF"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15-30 or more years estimated from 1974.</w:t>
            </w:r>
          </w:p>
        </w:tc>
      </w:tr>
      <w:tr w:rsidR="006F646F" w:rsidRPr="0041791D" w14:paraId="6E5E48B5" w14:textId="77777777" w:rsidTr="00734E50">
        <w:trPr>
          <w:trHeight w:val="432"/>
          <w:jc w:val="center"/>
        </w:trPr>
        <w:tc>
          <w:tcPr>
            <w:tcW w:w="2283" w:type="dxa"/>
            <w:vAlign w:val="center"/>
          </w:tcPr>
          <w:p w14:paraId="00904BDD" w14:textId="77777777" w:rsidR="006F646F" w:rsidRPr="0041791D" w:rsidRDefault="006F646F" w:rsidP="00CD02A5">
            <w:pPr>
              <w:spacing w:after="120"/>
              <w:jc w:val="center"/>
              <w:rPr>
                <w:rFonts w:asciiTheme="minorHAnsi" w:eastAsia="Arial Unicode MS" w:hAnsiTheme="minorHAnsi" w:cstheme="minorHAnsi"/>
                <w:color w:val="000000"/>
                <w:sz w:val="24"/>
                <w:szCs w:val="24"/>
                <w:u w:color="000000"/>
                <w14:textOutline w14:w="0" w14:cap="flat" w14:cmpd="sng" w14:algn="ctr">
                  <w14:noFill/>
                  <w14:prstDash w14:val="solid"/>
                  <w14:bevel/>
                </w14:textOutline>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1974</w:t>
            </w:r>
          </w:p>
        </w:tc>
        <w:tc>
          <w:tcPr>
            <w:tcW w:w="2869" w:type="dxa"/>
            <w:vAlign w:val="center"/>
          </w:tcPr>
          <w:p w14:paraId="3ABB188E"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1994</w:t>
            </w:r>
          </w:p>
        </w:tc>
        <w:tc>
          <w:tcPr>
            <w:tcW w:w="4198" w:type="dxa"/>
            <w:vAlign w:val="center"/>
          </w:tcPr>
          <w:p w14:paraId="36A9CD10"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 xml:space="preserve">March 1, </w:t>
            </w:r>
            <w:proofErr w:type="gramStart"/>
            <w:r w:rsidRPr="0041791D">
              <w:rPr>
                <w:rFonts w:asciiTheme="minorHAnsi" w:eastAsia="Calibri" w:hAnsiTheme="minorHAnsi" w:cstheme="minorHAnsi"/>
                <w:sz w:val="24"/>
                <w:szCs w:val="24"/>
              </w:rPr>
              <w:t>1974</w:t>
            </w:r>
            <w:proofErr w:type="gramEnd"/>
            <w:r w:rsidRPr="0041791D">
              <w:rPr>
                <w:rFonts w:asciiTheme="minorHAnsi" w:eastAsia="Calibri" w:hAnsiTheme="minorHAnsi" w:cstheme="minorHAnsi"/>
                <w:sz w:val="24"/>
                <w:szCs w:val="24"/>
              </w:rPr>
              <w:t xml:space="preserve"> Letter from Chemeketa Region Solid Waste Management Program Director (CP-74-01)</w:t>
            </w:r>
          </w:p>
          <w:p w14:paraId="2B2CBD13" w14:textId="77777777" w:rsidR="006F646F" w:rsidRPr="0041791D" w:rsidDel="00ED1302"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Based on 1,759,831 total tons received, at 32-40 feet, with Sweet Home and Lebanon area wastes directed towards “Lebanon Landfill”</w:t>
            </w:r>
          </w:p>
        </w:tc>
      </w:tr>
      <w:tr w:rsidR="006F646F" w:rsidRPr="0041791D" w14:paraId="4570F717" w14:textId="77777777" w:rsidTr="00734E50">
        <w:trPr>
          <w:trHeight w:val="432"/>
          <w:jc w:val="center"/>
        </w:trPr>
        <w:tc>
          <w:tcPr>
            <w:tcW w:w="2283" w:type="dxa"/>
            <w:vAlign w:val="center"/>
          </w:tcPr>
          <w:p w14:paraId="32183A8C" w14:textId="77777777" w:rsidR="006F646F" w:rsidRPr="0041791D" w:rsidRDefault="006F646F" w:rsidP="00CD02A5">
            <w:pPr>
              <w:spacing w:after="120"/>
              <w:jc w:val="center"/>
              <w:rPr>
                <w:rFonts w:asciiTheme="minorHAnsi" w:eastAsia="Arial Unicode MS" w:hAnsiTheme="minorHAnsi" w:cstheme="minorHAnsi"/>
                <w:color w:val="000000"/>
                <w:sz w:val="24"/>
                <w:szCs w:val="24"/>
                <w:u w:color="000000"/>
                <w14:textOutline w14:w="0" w14:cap="flat" w14:cmpd="sng" w14:algn="ctr">
                  <w14:noFill/>
                  <w14:prstDash w14:val="solid"/>
                  <w14:bevel/>
                </w14:textOutline>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1977</w:t>
            </w:r>
          </w:p>
        </w:tc>
        <w:tc>
          <w:tcPr>
            <w:tcW w:w="2869" w:type="dxa"/>
            <w:vAlign w:val="center"/>
          </w:tcPr>
          <w:p w14:paraId="668ACAD3"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2000</w:t>
            </w:r>
          </w:p>
        </w:tc>
        <w:tc>
          <w:tcPr>
            <w:tcW w:w="4198" w:type="dxa"/>
            <w:vAlign w:val="center"/>
          </w:tcPr>
          <w:p w14:paraId="7593E2CE" w14:textId="77777777" w:rsidR="006F646F" w:rsidRPr="0041791D" w:rsidRDefault="00415FF3" w:rsidP="00CD02A5">
            <w:pPr>
              <w:spacing w:after="120"/>
              <w:rPr>
                <w:rFonts w:asciiTheme="minorHAnsi" w:eastAsia="Calibri" w:hAnsiTheme="minorHAnsi" w:cstheme="minorHAnsi"/>
                <w:sz w:val="24"/>
                <w:szCs w:val="24"/>
              </w:rPr>
            </w:pPr>
            <w:hyperlink r:id="rId46" w:tgtFrame="_blank" w:history="1">
              <w:r w:rsidR="006F646F" w:rsidRPr="0041791D">
                <w:rPr>
                  <w:rFonts w:asciiTheme="minorHAnsi" w:eastAsia="Calibri" w:hAnsiTheme="minorHAnsi" w:cstheme="minorHAnsi"/>
                  <w:color w:val="0563C1"/>
                  <w:sz w:val="24"/>
                  <w:szCs w:val="24"/>
                  <w:u w:val="single"/>
                </w:rPr>
                <w:t>WCSI Solid Waste Management Plan (1977)</w:t>
              </w:r>
            </w:hyperlink>
          </w:p>
        </w:tc>
      </w:tr>
      <w:tr w:rsidR="006F646F" w:rsidRPr="0041791D" w14:paraId="18DFE711" w14:textId="77777777" w:rsidTr="00734E50">
        <w:trPr>
          <w:trHeight w:val="432"/>
          <w:jc w:val="center"/>
        </w:trPr>
        <w:tc>
          <w:tcPr>
            <w:tcW w:w="2283" w:type="dxa"/>
            <w:vAlign w:val="center"/>
          </w:tcPr>
          <w:p w14:paraId="19C409BF" w14:textId="77777777" w:rsidR="006F646F" w:rsidRPr="0041791D" w:rsidRDefault="006F646F" w:rsidP="00CD02A5">
            <w:pPr>
              <w:spacing w:after="120"/>
              <w:jc w:val="center"/>
              <w:rPr>
                <w:rFonts w:asciiTheme="minorHAnsi" w:eastAsia="Arial Unicode MS" w:hAnsiTheme="minorHAnsi" w:cstheme="minorHAnsi"/>
                <w:color w:val="000000"/>
                <w:sz w:val="24"/>
                <w:szCs w:val="24"/>
                <w:u w:color="000000"/>
                <w14:textOutline w14:w="0" w14:cap="flat" w14:cmpd="sng" w14:algn="ctr">
                  <w14:noFill/>
                  <w14:prstDash w14:val="solid"/>
                  <w14:bevel/>
                </w14:textOutline>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1983</w:t>
            </w:r>
          </w:p>
        </w:tc>
        <w:tc>
          <w:tcPr>
            <w:tcW w:w="2869" w:type="dxa"/>
            <w:vAlign w:val="center"/>
          </w:tcPr>
          <w:p w14:paraId="10B69671"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2033</w:t>
            </w:r>
          </w:p>
        </w:tc>
        <w:tc>
          <w:tcPr>
            <w:tcW w:w="4198" w:type="dxa"/>
            <w:vAlign w:val="center"/>
          </w:tcPr>
          <w:p w14:paraId="47B62D6A"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 xml:space="preserve">March 7, </w:t>
            </w:r>
            <w:proofErr w:type="gramStart"/>
            <w:r w:rsidRPr="0041791D">
              <w:rPr>
                <w:rFonts w:asciiTheme="minorHAnsi" w:eastAsia="Calibri" w:hAnsiTheme="minorHAnsi" w:cstheme="minorHAnsi"/>
                <w:sz w:val="24"/>
                <w:szCs w:val="24"/>
              </w:rPr>
              <w:t>1983</w:t>
            </w:r>
            <w:proofErr w:type="gramEnd"/>
            <w:r w:rsidRPr="0041791D">
              <w:rPr>
                <w:rFonts w:asciiTheme="minorHAnsi" w:eastAsia="Calibri" w:hAnsiTheme="minorHAnsi" w:cstheme="minorHAnsi"/>
                <w:sz w:val="24"/>
                <w:szCs w:val="24"/>
              </w:rPr>
              <w:t xml:space="preserve"> Memo from Benton County Development Director to BOC (L-83-07)</w:t>
            </w:r>
          </w:p>
          <w:p w14:paraId="32F91679"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50 years from 1983 estimated with approval of zoning change (estimate may include property South or Coffin Butte Road, the information was unclear).</w:t>
            </w:r>
          </w:p>
        </w:tc>
      </w:tr>
      <w:tr w:rsidR="006F646F" w:rsidRPr="0041791D" w14:paraId="40F2B041" w14:textId="77777777" w:rsidTr="00734E50">
        <w:trPr>
          <w:trHeight w:val="432"/>
          <w:jc w:val="center"/>
        </w:trPr>
        <w:tc>
          <w:tcPr>
            <w:tcW w:w="2283" w:type="dxa"/>
            <w:vAlign w:val="center"/>
          </w:tcPr>
          <w:p w14:paraId="60B0391C" w14:textId="77777777" w:rsidR="006F646F" w:rsidRPr="0041791D" w:rsidRDefault="006F646F" w:rsidP="00CD02A5">
            <w:pPr>
              <w:spacing w:after="120"/>
              <w:jc w:val="center"/>
              <w:rPr>
                <w:rFonts w:asciiTheme="minorHAnsi" w:eastAsia="Arial Unicode MS" w:hAnsiTheme="minorHAnsi" w:cstheme="minorHAnsi"/>
                <w:color w:val="000000"/>
                <w:sz w:val="24"/>
                <w:szCs w:val="24"/>
                <w:u w:color="000000"/>
                <w14:textOutline w14:w="0" w14:cap="flat" w14:cmpd="sng" w14:algn="ctr">
                  <w14:noFill/>
                  <w14:prstDash w14:val="solid"/>
                  <w14:bevel/>
                </w14:textOutline>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1994</w:t>
            </w:r>
          </w:p>
        </w:tc>
        <w:tc>
          <w:tcPr>
            <w:tcW w:w="2869" w:type="dxa"/>
            <w:vAlign w:val="center"/>
          </w:tcPr>
          <w:p w14:paraId="638BE161"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2024-2034</w:t>
            </w:r>
          </w:p>
        </w:tc>
        <w:tc>
          <w:tcPr>
            <w:tcW w:w="4198" w:type="dxa"/>
            <w:vAlign w:val="center"/>
          </w:tcPr>
          <w:p w14:paraId="085229E6"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“Summary of Written Comments Receipted from Citizens Regarding Coffin Butte Zone Change Request” Prepared by Benton County Environmental Health Division for a 11/29/10994 community meeting (PC-94-10)</w:t>
            </w:r>
          </w:p>
          <w:p w14:paraId="531DFFFF"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30-40 years from 1994. Estimate using only property North of coffin Butte Road, assuming material from current counties at the time.</w:t>
            </w:r>
          </w:p>
        </w:tc>
      </w:tr>
      <w:tr w:rsidR="006F646F" w:rsidRPr="0041791D" w14:paraId="3E9980B8" w14:textId="77777777" w:rsidTr="00734E50">
        <w:trPr>
          <w:trHeight w:val="432"/>
          <w:jc w:val="center"/>
        </w:trPr>
        <w:tc>
          <w:tcPr>
            <w:tcW w:w="2283" w:type="dxa"/>
            <w:vAlign w:val="center"/>
          </w:tcPr>
          <w:p w14:paraId="3960868E"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1999</w:t>
            </w:r>
          </w:p>
        </w:tc>
        <w:tc>
          <w:tcPr>
            <w:tcW w:w="2869" w:type="dxa"/>
            <w:vAlign w:val="center"/>
          </w:tcPr>
          <w:p w14:paraId="4716C05D"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Late 2070</w:t>
            </w:r>
          </w:p>
        </w:tc>
        <w:tc>
          <w:tcPr>
            <w:tcW w:w="4198" w:type="dxa"/>
            <w:vAlign w:val="center"/>
          </w:tcPr>
          <w:p w14:paraId="4EDE9443"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 xml:space="preserve">2003 Site Development Plan, Page 57, Table 3.1 </w:t>
            </w:r>
          </w:p>
          <w:p w14:paraId="4BEABE6F"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71.1 Years from Oct 1999</w:t>
            </w:r>
          </w:p>
          <w:p w14:paraId="079877FA"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Includes Cells 1-6 and East and West Triangles</w:t>
            </w:r>
          </w:p>
          <w:p w14:paraId="7F3F6884"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Based on 400,000 Tons/year and 0.8 Tons/yd</w:t>
            </w:r>
            <w:r w:rsidRPr="0041791D">
              <w:rPr>
                <w:rFonts w:asciiTheme="minorHAnsi" w:eastAsia="Calibri" w:hAnsiTheme="minorHAnsi" w:cstheme="minorHAnsi"/>
                <w:sz w:val="24"/>
                <w:szCs w:val="24"/>
                <w:vertAlign w:val="superscript"/>
              </w:rPr>
              <w:t>3</w:t>
            </w:r>
          </w:p>
        </w:tc>
      </w:tr>
      <w:tr w:rsidR="006F646F" w:rsidRPr="0041791D" w14:paraId="7EB788FF" w14:textId="77777777" w:rsidTr="00734E50">
        <w:trPr>
          <w:trHeight w:val="432"/>
          <w:jc w:val="center"/>
        </w:trPr>
        <w:tc>
          <w:tcPr>
            <w:tcW w:w="2283" w:type="dxa"/>
            <w:vAlign w:val="center"/>
          </w:tcPr>
          <w:p w14:paraId="21EBFAEC"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2001</w:t>
            </w:r>
          </w:p>
        </w:tc>
        <w:tc>
          <w:tcPr>
            <w:tcW w:w="2869" w:type="dxa"/>
            <w:vAlign w:val="center"/>
          </w:tcPr>
          <w:p w14:paraId="7505EEAC"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2049</w:t>
            </w:r>
          </w:p>
        </w:tc>
        <w:tc>
          <w:tcPr>
            <w:tcW w:w="4198" w:type="dxa"/>
            <w:vAlign w:val="center"/>
          </w:tcPr>
          <w:p w14:paraId="7FA22C80"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2001 Annual Report, prior to addition of East and West Triangles and Cell 6</w:t>
            </w:r>
          </w:p>
          <w:p w14:paraId="0B92199F"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47.5 years from Beginning 2002</w:t>
            </w:r>
          </w:p>
          <w:p w14:paraId="7EEDAA9F"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Based on 425,000 Tons/year and 0.8 Tons/yd</w:t>
            </w:r>
            <w:r w:rsidRPr="0041791D">
              <w:rPr>
                <w:rFonts w:asciiTheme="minorHAnsi" w:eastAsia="Calibri" w:hAnsiTheme="minorHAnsi" w:cstheme="minorHAnsi"/>
                <w:sz w:val="24"/>
                <w:szCs w:val="24"/>
                <w:vertAlign w:val="superscript"/>
              </w:rPr>
              <w:t>3</w:t>
            </w:r>
          </w:p>
        </w:tc>
      </w:tr>
      <w:tr w:rsidR="006F646F" w:rsidRPr="0041791D" w14:paraId="4551198A" w14:textId="77777777" w:rsidTr="00734E50">
        <w:trPr>
          <w:trHeight w:val="576"/>
          <w:jc w:val="center"/>
        </w:trPr>
        <w:tc>
          <w:tcPr>
            <w:tcW w:w="2283" w:type="dxa"/>
            <w:vAlign w:val="center"/>
          </w:tcPr>
          <w:p w14:paraId="2C544BBE"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2003</w:t>
            </w:r>
          </w:p>
        </w:tc>
        <w:tc>
          <w:tcPr>
            <w:tcW w:w="2869" w:type="dxa"/>
            <w:vAlign w:val="center"/>
          </w:tcPr>
          <w:p w14:paraId="38EA80A1"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2046</w:t>
            </w:r>
          </w:p>
        </w:tc>
        <w:tc>
          <w:tcPr>
            <w:tcW w:w="4198" w:type="dxa"/>
            <w:vAlign w:val="center"/>
          </w:tcPr>
          <w:p w14:paraId="17557AB4"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2003 Annual Report (Referenced in the chart above)</w:t>
            </w:r>
          </w:p>
        </w:tc>
      </w:tr>
      <w:tr w:rsidR="006F646F" w:rsidRPr="0041791D" w14:paraId="206B334E" w14:textId="77777777" w:rsidTr="00734E50">
        <w:trPr>
          <w:trHeight w:val="576"/>
          <w:jc w:val="center"/>
        </w:trPr>
        <w:tc>
          <w:tcPr>
            <w:tcW w:w="2283" w:type="dxa"/>
            <w:vAlign w:val="center"/>
          </w:tcPr>
          <w:p w14:paraId="534DAE48" w14:textId="77777777" w:rsidR="006F646F" w:rsidRPr="0041791D" w:rsidRDefault="006F646F" w:rsidP="00CD02A5">
            <w:pPr>
              <w:spacing w:after="120"/>
              <w:jc w:val="center"/>
              <w:rPr>
                <w:rFonts w:asciiTheme="minorHAnsi" w:eastAsia="Calibri" w:hAnsiTheme="minorHAnsi" w:cstheme="minorHAnsi"/>
                <w:sz w:val="24"/>
                <w:szCs w:val="24"/>
              </w:rPr>
            </w:pPr>
            <w:commentRangeStart w:id="228"/>
            <w:commentRangeStart w:id="229"/>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2010</w:t>
            </w:r>
            <w:commentRangeEnd w:id="228"/>
            <w:r w:rsidRPr="0041791D">
              <w:rPr>
                <w:rFonts w:asciiTheme="minorHAnsi" w:eastAsia="Calibri" w:hAnsiTheme="minorHAnsi" w:cstheme="minorHAnsi"/>
                <w:sz w:val="24"/>
                <w:szCs w:val="24"/>
              </w:rPr>
              <w:commentReference w:id="228"/>
            </w:r>
            <w:commentRangeEnd w:id="229"/>
            <w:r w:rsidRPr="0041791D">
              <w:rPr>
                <w:rFonts w:asciiTheme="minorHAnsi" w:eastAsia="Calibri" w:hAnsiTheme="minorHAnsi" w:cstheme="minorHAnsi"/>
                <w:sz w:val="24"/>
                <w:szCs w:val="24"/>
              </w:rPr>
              <w:commentReference w:id="229"/>
            </w:r>
          </w:p>
        </w:tc>
        <w:tc>
          <w:tcPr>
            <w:tcW w:w="2869" w:type="dxa"/>
            <w:vAlign w:val="center"/>
          </w:tcPr>
          <w:p w14:paraId="6623D041"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2053</w:t>
            </w:r>
          </w:p>
        </w:tc>
        <w:tc>
          <w:tcPr>
            <w:tcW w:w="4198" w:type="dxa"/>
            <w:vAlign w:val="center"/>
          </w:tcPr>
          <w:p w14:paraId="06F92E20"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 xml:space="preserve">United States Environmental Protection </w:t>
            </w:r>
            <w:commentRangeStart w:id="230"/>
            <w:commentRangeStart w:id="231"/>
            <w:commentRangeStart w:id="232"/>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Agency</w:t>
            </w:r>
            <w:commentRangeEnd w:id="230"/>
            <w:r w:rsidRPr="0041791D">
              <w:rPr>
                <w:rFonts w:asciiTheme="minorHAnsi" w:eastAsia="Calibri" w:hAnsiTheme="minorHAnsi" w:cstheme="minorHAnsi"/>
                <w:sz w:val="24"/>
                <w:szCs w:val="24"/>
              </w:rPr>
              <w:commentReference w:id="230"/>
            </w:r>
            <w:commentRangeEnd w:id="231"/>
            <w:r w:rsidRPr="0041791D">
              <w:rPr>
                <w:rFonts w:asciiTheme="minorHAnsi" w:eastAsia="Calibri" w:hAnsiTheme="minorHAnsi" w:cstheme="minorHAnsi"/>
                <w:sz w:val="24"/>
                <w:szCs w:val="24"/>
              </w:rPr>
              <w:commentReference w:id="231"/>
            </w:r>
            <w:commentRangeEnd w:id="232"/>
            <w:r w:rsidRPr="0041791D">
              <w:rPr>
                <w:rStyle w:val="CommentReference"/>
                <w:rFonts w:asciiTheme="minorHAnsi" w:hAnsiTheme="minorHAnsi" w:cstheme="minorHAnsi"/>
                <w:sz w:val="24"/>
                <w:szCs w:val="24"/>
              </w:rPr>
              <w:commentReference w:id="232"/>
            </w: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w:t>
            </w:r>
          </w:p>
        </w:tc>
      </w:tr>
      <w:tr w:rsidR="006F646F" w:rsidRPr="0041791D" w14:paraId="3B63EE12" w14:textId="77777777" w:rsidTr="00734E50">
        <w:trPr>
          <w:trHeight w:val="576"/>
          <w:jc w:val="center"/>
        </w:trPr>
        <w:tc>
          <w:tcPr>
            <w:tcW w:w="2283" w:type="dxa"/>
            <w:vAlign w:val="center"/>
          </w:tcPr>
          <w:p w14:paraId="4B9BFB38"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2013</w:t>
            </w:r>
          </w:p>
        </w:tc>
        <w:tc>
          <w:tcPr>
            <w:tcW w:w="2869" w:type="dxa"/>
            <w:vAlign w:val="center"/>
          </w:tcPr>
          <w:p w14:paraId="3A0182EA"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2064</w:t>
            </w:r>
          </w:p>
        </w:tc>
        <w:tc>
          <w:tcPr>
            <w:tcW w:w="4198" w:type="dxa"/>
            <w:vAlign w:val="center"/>
          </w:tcPr>
          <w:p w14:paraId="6708103D"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United States Environmental Protection Agency*</w:t>
            </w:r>
          </w:p>
        </w:tc>
      </w:tr>
      <w:tr w:rsidR="006F646F" w:rsidRPr="0041791D" w14:paraId="19998EA1" w14:textId="77777777" w:rsidTr="00734E50">
        <w:trPr>
          <w:trHeight w:val="576"/>
          <w:jc w:val="center"/>
        </w:trPr>
        <w:tc>
          <w:tcPr>
            <w:tcW w:w="2283" w:type="dxa"/>
            <w:vAlign w:val="center"/>
          </w:tcPr>
          <w:p w14:paraId="03B0F053"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2014</w:t>
            </w:r>
          </w:p>
        </w:tc>
        <w:tc>
          <w:tcPr>
            <w:tcW w:w="2869" w:type="dxa"/>
            <w:vAlign w:val="center"/>
          </w:tcPr>
          <w:p w14:paraId="36005414"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2065</w:t>
            </w:r>
          </w:p>
        </w:tc>
        <w:tc>
          <w:tcPr>
            <w:tcW w:w="4198" w:type="dxa"/>
            <w:vAlign w:val="center"/>
          </w:tcPr>
          <w:p w14:paraId="45A65862"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United States Environmental Protection Agency*</w:t>
            </w:r>
          </w:p>
        </w:tc>
      </w:tr>
      <w:tr w:rsidR="006F646F" w:rsidRPr="0041791D" w14:paraId="56EF83E5" w14:textId="77777777" w:rsidTr="00734E50">
        <w:trPr>
          <w:trHeight w:val="576"/>
          <w:jc w:val="center"/>
        </w:trPr>
        <w:tc>
          <w:tcPr>
            <w:tcW w:w="2283" w:type="dxa"/>
            <w:vAlign w:val="center"/>
          </w:tcPr>
          <w:p w14:paraId="330186F6"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2015</w:t>
            </w:r>
          </w:p>
        </w:tc>
        <w:tc>
          <w:tcPr>
            <w:tcW w:w="2869" w:type="dxa"/>
            <w:vAlign w:val="center"/>
          </w:tcPr>
          <w:p w14:paraId="5CA3685A"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2061</w:t>
            </w:r>
          </w:p>
        </w:tc>
        <w:tc>
          <w:tcPr>
            <w:tcW w:w="4198" w:type="dxa"/>
            <w:vAlign w:val="center"/>
          </w:tcPr>
          <w:p w14:paraId="03E72E80"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United States Environmental Protection Agency*</w:t>
            </w:r>
          </w:p>
        </w:tc>
      </w:tr>
      <w:tr w:rsidR="006F646F" w:rsidRPr="0041791D" w14:paraId="7BF380E8" w14:textId="77777777" w:rsidTr="00734E50">
        <w:trPr>
          <w:trHeight w:val="576"/>
          <w:jc w:val="center"/>
        </w:trPr>
        <w:tc>
          <w:tcPr>
            <w:tcW w:w="2283" w:type="dxa"/>
            <w:vAlign w:val="center"/>
          </w:tcPr>
          <w:p w14:paraId="3DA3C627"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2016</w:t>
            </w:r>
          </w:p>
        </w:tc>
        <w:tc>
          <w:tcPr>
            <w:tcW w:w="2869" w:type="dxa"/>
            <w:vAlign w:val="center"/>
          </w:tcPr>
          <w:p w14:paraId="4EF59777"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2058</w:t>
            </w:r>
          </w:p>
        </w:tc>
        <w:tc>
          <w:tcPr>
            <w:tcW w:w="4198" w:type="dxa"/>
            <w:vAlign w:val="center"/>
          </w:tcPr>
          <w:p w14:paraId="3EC08D24"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United States Environmental Protection Agency*</w:t>
            </w:r>
          </w:p>
        </w:tc>
      </w:tr>
      <w:tr w:rsidR="006F646F" w:rsidRPr="0041791D" w14:paraId="3A2A8A9D" w14:textId="77777777" w:rsidTr="00734E50">
        <w:trPr>
          <w:trHeight w:val="576"/>
          <w:jc w:val="center"/>
        </w:trPr>
        <w:tc>
          <w:tcPr>
            <w:tcW w:w="2283" w:type="dxa"/>
            <w:vAlign w:val="center"/>
          </w:tcPr>
          <w:p w14:paraId="47A53486"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2018</w:t>
            </w:r>
          </w:p>
        </w:tc>
        <w:tc>
          <w:tcPr>
            <w:tcW w:w="2869" w:type="dxa"/>
            <w:vAlign w:val="center"/>
          </w:tcPr>
          <w:p w14:paraId="27DCD66B"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2048</w:t>
            </w:r>
          </w:p>
        </w:tc>
        <w:tc>
          <w:tcPr>
            <w:tcW w:w="4198" w:type="dxa"/>
            <w:vAlign w:val="center"/>
          </w:tcPr>
          <w:p w14:paraId="5E1A8343"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United States Environmental Protection Agency*</w:t>
            </w:r>
          </w:p>
        </w:tc>
      </w:tr>
      <w:tr w:rsidR="006F646F" w:rsidRPr="0041791D" w14:paraId="56BFAF44" w14:textId="77777777" w:rsidTr="00734E50">
        <w:trPr>
          <w:trHeight w:val="576"/>
          <w:jc w:val="center"/>
        </w:trPr>
        <w:tc>
          <w:tcPr>
            <w:tcW w:w="2283" w:type="dxa"/>
            <w:vAlign w:val="center"/>
          </w:tcPr>
          <w:p w14:paraId="0D148ABF"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2019</w:t>
            </w:r>
          </w:p>
        </w:tc>
        <w:tc>
          <w:tcPr>
            <w:tcW w:w="2869" w:type="dxa"/>
            <w:vAlign w:val="center"/>
          </w:tcPr>
          <w:p w14:paraId="681B6F77"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2044</w:t>
            </w:r>
          </w:p>
        </w:tc>
        <w:tc>
          <w:tcPr>
            <w:tcW w:w="4198" w:type="dxa"/>
            <w:vAlign w:val="center"/>
          </w:tcPr>
          <w:p w14:paraId="7F901D44"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Arial Unicode MS" w:hAnsiTheme="minorHAnsi" w:cstheme="minorHAnsi"/>
                <w:color w:val="000000"/>
                <w:sz w:val="24"/>
                <w:szCs w:val="24"/>
                <w:u w:color="000000"/>
                <w14:textOutline w14:w="0" w14:cap="flat" w14:cmpd="sng" w14:algn="ctr">
                  <w14:noFill/>
                  <w14:prstDash w14:val="solid"/>
                  <w14:bevel/>
                </w14:textOutline>
              </w:rPr>
              <w:t>United States Environmental Protection Agency*</w:t>
            </w:r>
          </w:p>
        </w:tc>
      </w:tr>
      <w:tr w:rsidR="006F646F" w:rsidRPr="0041791D" w14:paraId="64045CE0" w14:textId="77777777" w:rsidTr="00734E50">
        <w:trPr>
          <w:trHeight w:val="576"/>
          <w:jc w:val="center"/>
        </w:trPr>
        <w:tc>
          <w:tcPr>
            <w:tcW w:w="2283" w:type="dxa"/>
            <w:vAlign w:val="center"/>
          </w:tcPr>
          <w:p w14:paraId="12B39D65"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2021</w:t>
            </w:r>
          </w:p>
        </w:tc>
        <w:tc>
          <w:tcPr>
            <w:tcW w:w="2869" w:type="dxa"/>
            <w:vAlign w:val="center"/>
          </w:tcPr>
          <w:p w14:paraId="0FA9EF6E" w14:textId="77777777" w:rsidR="006F646F" w:rsidRPr="0041791D" w:rsidRDefault="006F646F" w:rsidP="00CD02A5">
            <w:pPr>
              <w:spacing w:after="120"/>
              <w:jc w:val="center"/>
              <w:rPr>
                <w:rFonts w:asciiTheme="minorHAnsi" w:eastAsia="Calibri" w:hAnsiTheme="minorHAnsi" w:cstheme="minorHAnsi"/>
                <w:sz w:val="24"/>
                <w:szCs w:val="24"/>
              </w:rPr>
            </w:pPr>
            <w:r w:rsidRPr="0041791D">
              <w:rPr>
                <w:rFonts w:asciiTheme="minorHAnsi" w:eastAsia="Calibri" w:hAnsiTheme="minorHAnsi" w:cstheme="minorHAnsi"/>
                <w:sz w:val="24"/>
                <w:szCs w:val="24"/>
              </w:rPr>
              <w:t>2039</w:t>
            </w:r>
          </w:p>
        </w:tc>
        <w:tc>
          <w:tcPr>
            <w:tcW w:w="4198" w:type="dxa"/>
            <w:vAlign w:val="center"/>
          </w:tcPr>
          <w:p w14:paraId="05530A3C"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2021 Site Development Plan, Appendix B</w:t>
            </w:r>
          </w:p>
          <w:p w14:paraId="5DBC46E8"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 xml:space="preserve">With detailed breakdown of planned Cell 6 structure and corresponding </w:t>
            </w:r>
            <w:proofErr w:type="spellStart"/>
            <w:r w:rsidRPr="0041791D">
              <w:rPr>
                <w:rFonts w:asciiTheme="minorHAnsi" w:eastAsia="Calibri" w:hAnsiTheme="minorHAnsi" w:cstheme="minorHAnsi"/>
                <w:sz w:val="24"/>
                <w:szCs w:val="24"/>
              </w:rPr>
              <w:t>subcell</w:t>
            </w:r>
            <w:proofErr w:type="spellEnd"/>
            <w:r w:rsidRPr="0041791D">
              <w:rPr>
                <w:rFonts w:asciiTheme="minorHAnsi" w:eastAsia="Calibri" w:hAnsiTheme="minorHAnsi" w:cstheme="minorHAnsi"/>
                <w:sz w:val="24"/>
                <w:szCs w:val="24"/>
              </w:rPr>
              <w:t xml:space="preserve"> life expectancy</w:t>
            </w:r>
          </w:p>
          <w:p w14:paraId="1AF92B71"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Based on 846,274 Tons/year and 0.8 Tons/yd</w:t>
            </w:r>
            <w:r w:rsidRPr="0041791D">
              <w:rPr>
                <w:rFonts w:asciiTheme="minorHAnsi" w:eastAsia="Calibri" w:hAnsiTheme="minorHAnsi" w:cstheme="minorHAnsi"/>
                <w:sz w:val="24"/>
                <w:szCs w:val="24"/>
                <w:vertAlign w:val="superscript"/>
              </w:rPr>
              <w:t>3</w:t>
            </w:r>
          </w:p>
        </w:tc>
      </w:tr>
      <w:tr w:rsidR="006F646F" w:rsidRPr="0041791D" w14:paraId="42AAA4F6" w14:textId="77777777" w:rsidTr="00734E50">
        <w:trPr>
          <w:trHeight w:val="576"/>
          <w:jc w:val="center"/>
        </w:trPr>
        <w:tc>
          <w:tcPr>
            <w:tcW w:w="9350" w:type="dxa"/>
            <w:gridSpan w:val="3"/>
            <w:vAlign w:val="center"/>
          </w:tcPr>
          <w:p w14:paraId="166BDA84" w14:textId="77777777" w:rsidR="006F646F" w:rsidRPr="0041791D" w:rsidRDefault="006F646F" w:rsidP="00CD02A5">
            <w:pPr>
              <w:spacing w:after="120"/>
              <w:rPr>
                <w:rFonts w:asciiTheme="minorHAnsi" w:eastAsia="Calibri" w:hAnsiTheme="minorHAnsi" w:cstheme="minorHAnsi"/>
                <w:sz w:val="24"/>
                <w:szCs w:val="24"/>
              </w:rPr>
            </w:pPr>
            <w:r w:rsidRPr="0041791D">
              <w:rPr>
                <w:rFonts w:asciiTheme="minorHAnsi" w:eastAsia="Calibri" w:hAnsiTheme="minorHAnsi" w:cstheme="minorHAnsi"/>
                <w:sz w:val="24"/>
                <w:szCs w:val="24"/>
              </w:rPr>
              <w:t>*</w:t>
            </w:r>
            <w:r w:rsidRPr="0041791D">
              <w:rPr>
                <w:rFonts w:asciiTheme="minorHAnsi" w:eastAsia="Calibri" w:hAnsiTheme="minorHAnsi" w:cstheme="minorHAnsi"/>
                <w:color w:val="4472C4"/>
                <w:sz w:val="24"/>
                <w:szCs w:val="24"/>
              </w:rPr>
              <w:t xml:space="preserve"> </w:t>
            </w:r>
            <w:hyperlink r:id="rId47" w:history="1">
              <w:r w:rsidRPr="0041791D">
                <w:rPr>
                  <w:rFonts w:asciiTheme="minorHAnsi" w:eastAsia="Calibri" w:hAnsiTheme="minorHAnsi" w:cstheme="minorHAnsi"/>
                  <w:color w:val="4472C4"/>
                  <w:sz w:val="24"/>
                  <w:szCs w:val="24"/>
                  <w:u w:val="single" w:color="0563C1"/>
                </w:rPr>
                <w:t>EPA Greenhouse Gas (GHG) Emissions Data from Large Facilities</w:t>
              </w:r>
            </w:hyperlink>
            <w:r w:rsidRPr="0041791D">
              <w:rPr>
                <w:rFonts w:asciiTheme="minorHAnsi" w:eastAsia="Calibri" w:hAnsiTheme="minorHAnsi" w:cstheme="minorHAnsi"/>
                <w:sz w:val="24"/>
                <w:szCs w:val="24"/>
              </w:rPr>
              <w:t>, 2010-2021</w:t>
            </w:r>
          </w:p>
        </w:tc>
      </w:tr>
    </w:tbl>
    <w:p w14:paraId="27875540" w14:textId="77777777" w:rsidR="006F646F" w:rsidRPr="0041791D" w:rsidRDefault="006F646F" w:rsidP="006F646F">
      <w:pPr>
        <w:spacing w:after="120" w:line="240" w:lineRule="auto"/>
        <w:rPr>
          <w:rFonts w:eastAsia="Calibri" w:cstheme="minorHAnsi"/>
          <w:sz w:val="24"/>
          <w:szCs w:val="24"/>
        </w:rPr>
      </w:pPr>
    </w:p>
    <w:p w14:paraId="0DDE3099" w14:textId="77777777" w:rsidR="006F646F" w:rsidRPr="0041791D" w:rsidRDefault="006F646F" w:rsidP="006F646F">
      <w:pPr>
        <w:rPr>
          <w:rFonts w:eastAsia="Calibri" w:cstheme="minorHAnsi"/>
          <w:sz w:val="24"/>
          <w:szCs w:val="24"/>
        </w:rPr>
      </w:pPr>
    </w:p>
    <w:p w14:paraId="1FFB27D7" w14:textId="77777777" w:rsidR="006F646F" w:rsidRPr="0041791D" w:rsidRDefault="006F646F" w:rsidP="006F646F">
      <w:pPr>
        <w:pStyle w:val="Heading3"/>
        <w:numPr>
          <w:ilvl w:val="0"/>
          <w:numId w:val="30"/>
        </w:numPr>
        <w:tabs>
          <w:tab w:val="num" w:pos="360"/>
        </w:tabs>
        <w:rPr>
          <w:rFonts w:asciiTheme="minorHAnsi" w:hAnsiTheme="minorHAnsi" w:cstheme="minorHAnsi"/>
        </w:rPr>
      </w:pPr>
      <w:bookmarkStart w:id="233" w:name="_Toc128666898"/>
      <w:bookmarkStart w:id="234" w:name="_Toc129256731"/>
      <w:r w:rsidRPr="0041791D">
        <w:rPr>
          <w:rFonts w:asciiTheme="minorHAnsi" w:hAnsiTheme="minorHAnsi" w:cstheme="minorHAnsi"/>
        </w:rPr>
        <w:t>Coffin Butte Site Life Projection: 2023 to closure</w:t>
      </w:r>
      <w:bookmarkEnd w:id="233"/>
      <w:bookmarkEnd w:id="234"/>
      <w:r w:rsidRPr="0041791D">
        <w:rPr>
          <w:rFonts w:asciiTheme="minorHAnsi" w:hAnsiTheme="minorHAnsi" w:cstheme="minorHAnsi"/>
        </w:rPr>
        <w:t xml:space="preserve"> </w:t>
      </w:r>
    </w:p>
    <w:p w14:paraId="013416CF" w14:textId="77777777" w:rsidR="006F646F" w:rsidRPr="0041791D" w:rsidRDefault="006F646F" w:rsidP="006F646F">
      <w:pPr>
        <w:ind w:left="360"/>
        <w:rPr>
          <w:rFonts w:eastAsia="Calibri" w:cstheme="minorHAnsi"/>
          <w:sz w:val="24"/>
          <w:szCs w:val="24"/>
        </w:rPr>
      </w:pPr>
      <w:r w:rsidRPr="0041791D">
        <w:rPr>
          <w:rFonts w:eastAsia="Times New Roman" w:cstheme="minorHAnsi"/>
          <w:sz w:val="24"/>
          <w:szCs w:val="24"/>
        </w:rPr>
        <w:t xml:space="preserve">The </w:t>
      </w:r>
      <w:r w:rsidRPr="0041791D">
        <w:rPr>
          <w:rFonts w:eastAsia="Calibri" w:cstheme="minorHAnsi"/>
          <w:sz w:val="24"/>
          <w:szCs w:val="24"/>
        </w:rPr>
        <w:t xml:space="preserve">landfill life projections shown below are provided Republic Services. They are designed to establish a baseline – a simple operational project that more sophisticated scenarios can be built upon. </w:t>
      </w:r>
    </w:p>
    <w:p w14:paraId="465BC36A" w14:textId="77777777" w:rsidR="006F646F" w:rsidRPr="0041791D" w:rsidRDefault="006F646F" w:rsidP="006F646F">
      <w:pPr>
        <w:ind w:left="360"/>
        <w:rPr>
          <w:rFonts w:eastAsia="Times New Roman" w:cstheme="minorHAnsi"/>
          <w:sz w:val="24"/>
          <w:szCs w:val="24"/>
        </w:rPr>
      </w:pPr>
      <w:r w:rsidRPr="0041791D">
        <w:rPr>
          <w:rFonts w:eastAsia="Times New Roman" w:cstheme="minorHAnsi"/>
          <w:sz w:val="24"/>
          <w:szCs w:val="24"/>
        </w:rPr>
        <w:t xml:space="preserve">It presumes: </w:t>
      </w:r>
    </w:p>
    <w:p w14:paraId="49648689" w14:textId="77777777" w:rsidR="006F646F" w:rsidRPr="0041791D" w:rsidRDefault="006F646F" w:rsidP="00AD7273">
      <w:pPr>
        <w:pStyle w:val="ListParagraph"/>
        <w:numPr>
          <w:ilvl w:val="0"/>
          <w:numId w:val="34"/>
        </w:numPr>
        <w:spacing w:line="256" w:lineRule="auto"/>
        <w:rPr>
          <w:rFonts w:asciiTheme="minorHAnsi" w:eastAsia="Calibri" w:hAnsiTheme="minorHAnsi" w:cstheme="minorHAnsi"/>
          <w:sz w:val="24"/>
          <w:szCs w:val="24"/>
        </w:rPr>
      </w:pPr>
      <w:r w:rsidRPr="0041791D">
        <w:rPr>
          <w:rFonts w:asciiTheme="minorHAnsi" w:eastAsia="Calibri" w:hAnsiTheme="minorHAnsi" w:cstheme="minorHAnsi"/>
          <w:sz w:val="24"/>
          <w:szCs w:val="24"/>
        </w:rPr>
        <w:t>A steady annual tonnage intake of between 1 million and 1.1 million tons for the duration of the landfill’s projected remaining site life.</w:t>
      </w:r>
    </w:p>
    <w:p w14:paraId="308A1095" w14:textId="77777777" w:rsidR="006F646F" w:rsidRPr="0041791D" w:rsidRDefault="006F646F" w:rsidP="00AD7273">
      <w:pPr>
        <w:pStyle w:val="ListParagraph"/>
        <w:numPr>
          <w:ilvl w:val="0"/>
          <w:numId w:val="34"/>
        </w:numPr>
        <w:spacing w:line="256" w:lineRule="auto"/>
        <w:rPr>
          <w:rFonts w:asciiTheme="minorHAnsi" w:eastAsia="Calibri" w:hAnsiTheme="minorHAnsi" w:cstheme="minorHAnsi"/>
          <w:sz w:val="24"/>
          <w:szCs w:val="24"/>
        </w:rPr>
      </w:pPr>
      <w:r w:rsidRPr="0041791D">
        <w:rPr>
          <w:rFonts w:asciiTheme="minorHAnsi" w:eastAsia="Calibri" w:hAnsiTheme="minorHAnsi" w:cstheme="minorHAnsi"/>
          <w:sz w:val="24"/>
          <w:szCs w:val="24"/>
        </w:rPr>
        <w:t>Site life is currently projected by Republic Services to be between 14.5 and 16 years, with a closure date between 2037-2039.</w:t>
      </w:r>
    </w:p>
    <w:p w14:paraId="3BAB03AA" w14:textId="77777777" w:rsidR="006F646F" w:rsidRPr="0041791D" w:rsidRDefault="006F646F" w:rsidP="006F646F">
      <w:pPr>
        <w:pStyle w:val="ListParagraph"/>
        <w:rPr>
          <w:rFonts w:asciiTheme="minorHAnsi" w:eastAsia="Calibri" w:hAnsiTheme="minorHAnsi" w:cstheme="minorHAnsi"/>
          <w:sz w:val="24"/>
          <w:szCs w:val="24"/>
        </w:rPr>
      </w:pPr>
      <w:r w:rsidRPr="0041791D">
        <w:rPr>
          <w:rFonts w:asciiTheme="minorHAnsi" w:eastAsia="Calibri" w:hAnsiTheme="minorHAnsi" w:cstheme="minorHAnsi"/>
          <w:sz w:val="24"/>
          <w:szCs w:val="24"/>
        </w:rPr>
        <w:t>Note: This also presumes that the landfill area known as “the quarry” can be fully excavated. A significant portion of permitted airspace at Coffin Butte is currently unusable due to unexcavated rock.</w:t>
      </w:r>
    </w:p>
    <w:p w14:paraId="2AB85AF0" w14:textId="77777777" w:rsidR="006F646F" w:rsidRPr="0041791D" w:rsidRDefault="006F646F" w:rsidP="00AD7273">
      <w:pPr>
        <w:pStyle w:val="ListParagraph"/>
        <w:numPr>
          <w:ilvl w:val="0"/>
          <w:numId w:val="34"/>
        </w:numPr>
        <w:spacing w:line="256" w:lineRule="auto"/>
        <w:rPr>
          <w:rFonts w:asciiTheme="minorHAnsi" w:eastAsia="Calibri" w:hAnsiTheme="minorHAnsi" w:cstheme="minorHAnsi"/>
          <w:sz w:val="24"/>
          <w:szCs w:val="24"/>
        </w:rPr>
      </w:pPr>
      <w:r w:rsidRPr="0041791D">
        <w:rPr>
          <w:rFonts w:asciiTheme="minorHAnsi" w:eastAsia="Calibri" w:hAnsiTheme="minorHAnsi" w:cstheme="minorHAnsi"/>
          <w:sz w:val="24"/>
          <w:szCs w:val="24"/>
        </w:rPr>
        <w:t>As indicated in the assumptions, this baseline is not a “default future,” in that it does not incorporate outside factors.</w:t>
      </w:r>
    </w:p>
    <w:p w14:paraId="7D857C48" w14:textId="77777777" w:rsidR="006F646F" w:rsidRPr="0041791D" w:rsidRDefault="006F646F" w:rsidP="006F646F">
      <w:pPr>
        <w:ind w:left="360"/>
        <w:rPr>
          <w:rFonts w:eastAsia="Calibri" w:cstheme="minorHAnsi"/>
          <w:sz w:val="24"/>
          <w:szCs w:val="24"/>
        </w:rPr>
      </w:pPr>
    </w:p>
    <w:p w14:paraId="04FDC0DC" w14:textId="77777777" w:rsidR="006F646F" w:rsidRPr="0041791D" w:rsidRDefault="006F646F" w:rsidP="006F646F">
      <w:pPr>
        <w:ind w:left="360"/>
        <w:rPr>
          <w:rFonts w:eastAsia="Calibri" w:cstheme="minorHAnsi"/>
          <w:i/>
          <w:color w:val="FF0000"/>
          <w:sz w:val="24"/>
          <w:szCs w:val="24"/>
        </w:rPr>
      </w:pPr>
      <w:commentRangeStart w:id="235"/>
      <w:commentRangeStart w:id="236"/>
    </w:p>
    <w:p w14:paraId="15DC5E37" w14:textId="77777777" w:rsidR="006F646F" w:rsidRPr="0041791D" w:rsidRDefault="006F646F" w:rsidP="006F646F">
      <w:pPr>
        <w:ind w:left="360"/>
        <w:rPr>
          <w:rFonts w:eastAsia="Calibri" w:cstheme="minorHAnsi"/>
          <w:i/>
          <w:color w:val="FF0000"/>
          <w:sz w:val="24"/>
          <w:szCs w:val="24"/>
        </w:rPr>
      </w:pPr>
      <w:r w:rsidRPr="0041791D">
        <w:rPr>
          <w:rFonts w:eastAsia="Calibri" w:cstheme="minorHAnsi"/>
          <w:noProof/>
          <w:sz w:val="24"/>
          <w:szCs w:val="24"/>
        </w:rPr>
        <w:drawing>
          <wp:inline distT="0" distB="0" distL="0" distR="0" wp14:anchorId="03D942D1" wp14:editId="40E4F776">
            <wp:extent cx="4267200" cy="5676900"/>
            <wp:effectExtent l="0" t="0" r="0" b="0"/>
            <wp:docPr id="250361777" name="Picture 2503617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15"/>
                    <a:stretch>
                      <a:fillRect/>
                    </a:stretch>
                  </pic:blipFill>
                  <pic:spPr>
                    <a:xfrm>
                      <a:off x="0" y="0"/>
                      <a:ext cx="4476750" cy="5955676"/>
                    </a:xfrm>
                    <a:prstGeom prst="rect">
                      <a:avLst/>
                    </a:prstGeom>
                  </pic:spPr>
                </pic:pic>
              </a:graphicData>
            </a:graphic>
          </wp:inline>
        </w:drawing>
      </w:r>
      <w:commentRangeEnd w:id="235"/>
      <w:r w:rsidRPr="0041791D">
        <w:rPr>
          <w:rFonts w:eastAsia="Calibri" w:cstheme="minorHAnsi"/>
          <w:sz w:val="24"/>
          <w:szCs w:val="24"/>
        </w:rPr>
        <w:commentReference w:id="235"/>
      </w:r>
      <w:commentRangeEnd w:id="236"/>
      <w:r w:rsidRPr="0041791D">
        <w:rPr>
          <w:rStyle w:val="CommentReference"/>
          <w:rFonts w:cstheme="minorHAnsi"/>
          <w:sz w:val="24"/>
          <w:szCs w:val="24"/>
        </w:rPr>
        <w:commentReference w:id="236"/>
      </w:r>
    </w:p>
    <w:p w14:paraId="4217107D" w14:textId="77777777" w:rsidR="006F646F" w:rsidRPr="0041791D" w:rsidRDefault="006F646F" w:rsidP="006F646F">
      <w:pPr>
        <w:ind w:left="360"/>
        <w:rPr>
          <w:rFonts w:eastAsia="Arial Unicode MS" w:cstheme="minorHAnsi"/>
          <w:color w:val="000000"/>
          <w:sz w:val="24"/>
          <w:szCs w:val="24"/>
          <w:bdr w:val="none" w:sz="0" w:space="0" w:color="auto" w:frame="1"/>
          <w14:textOutline w14:w="0" w14:cap="flat" w14:cmpd="sng" w14:algn="ctr">
            <w14:noFill/>
            <w14:prstDash w14:val="solid"/>
            <w14:bevel/>
          </w14:textOutline>
        </w:rPr>
      </w:pPr>
    </w:p>
    <w:p w14:paraId="09E06135" w14:textId="77777777" w:rsidR="006F646F" w:rsidRPr="0041791D" w:rsidRDefault="006F646F" w:rsidP="006F646F">
      <w:pPr>
        <w:ind w:left="360"/>
        <w:rPr>
          <w:rFonts w:eastAsia="Arial Unicode MS" w:cstheme="minorHAnsi"/>
          <w:color w:val="000000"/>
          <w:sz w:val="24"/>
          <w:szCs w:val="24"/>
          <w:bdr w:val="none" w:sz="0" w:space="0" w:color="auto" w:frame="1"/>
          <w14:textOutline w14:w="0" w14:cap="flat" w14:cmpd="sng" w14:algn="ctr">
            <w14:noFill/>
            <w14:prstDash w14:val="solid"/>
            <w14:bevel/>
          </w14:textOutline>
        </w:rPr>
      </w:pP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The table shown above represents industry-accepted modeling for estimating a Landfill’s remaining life. Modeling is based on three factors: remaining permitted airspace, volume, and density. As noted in the text below the graphic, Republic Services acknowledges that a wide variety of variables, independently or in concert with each other, can impact the baseline(s) enumerated above.</w:t>
      </w:r>
    </w:p>
    <w:p w14:paraId="7FFDE0E7" w14:textId="77777777" w:rsidR="006F646F" w:rsidRPr="0041791D" w:rsidRDefault="006F646F" w:rsidP="006F646F">
      <w:pPr>
        <w:ind w:left="360"/>
        <w:rPr>
          <w:rFonts w:eastAsia="Arial Unicode MS" w:cstheme="minorHAnsi"/>
          <w:color w:val="000000"/>
          <w:sz w:val="24"/>
          <w:szCs w:val="24"/>
          <w:bdr w:val="none" w:sz="0" w:space="0" w:color="auto" w:frame="1"/>
          <w14:textOutline w14:w="0" w14:cap="flat" w14:cmpd="sng" w14:algn="ctr">
            <w14:noFill/>
            <w14:prstDash w14:val="solid"/>
            <w14:bevel/>
          </w14:textOutline>
        </w:rPr>
      </w:pP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xml:space="preserve">Committee members also want to make clear that the two baseline scenarios shown in the graphic are built on certain assumptions. They are as </w:t>
      </w:r>
      <w:commentRangeStart w:id="237"/>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follows</w:t>
      </w:r>
      <w:commentRangeEnd w:id="237"/>
      <w:r w:rsidRPr="0041791D">
        <w:rPr>
          <w:rFonts w:eastAsia="Calibri" w:cstheme="minorHAnsi"/>
          <w:sz w:val="24"/>
          <w:szCs w:val="24"/>
        </w:rPr>
        <w:commentReference w:id="237"/>
      </w: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w:t>
      </w:r>
    </w:p>
    <w:p w14:paraId="49A9F607" w14:textId="77777777" w:rsidR="006F646F" w:rsidRPr="0041791D" w:rsidRDefault="006F646F" w:rsidP="006F646F">
      <w:pPr>
        <w:numPr>
          <w:ilvl w:val="0"/>
          <w:numId w:val="26"/>
        </w:numPr>
        <w:contextualSpacing/>
        <w:rPr>
          <w:rFonts w:eastAsia="Arial Unicode MS" w:cstheme="minorHAnsi"/>
          <w:color w:val="000000"/>
          <w:sz w:val="24"/>
          <w:szCs w:val="24"/>
          <w:bdr w:val="none" w:sz="0" w:space="0" w:color="auto" w:frame="1"/>
          <w14:textOutline w14:w="0" w14:cap="flat" w14:cmpd="sng" w14:algn="ctr">
            <w14:noFill/>
            <w14:prstDash w14:val="solid"/>
            <w14:bevel/>
          </w14:textOutline>
        </w:rPr>
      </w:pPr>
      <w:r w:rsidRPr="0041791D">
        <w:rPr>
          <w:rFonts w:eastAsia="Arial Unicode MS" w:cstheme="minorHAnsi"/>
          <w:b/>
          <w:bCs/>
          <w:color w:val="000000"/>
          <w:sz w:val="24"/>
          <w:szCs w:val="24"/>
          <w:bdr w:val="none" w:sz="0" w:space="0" w:color="auto" w:frame="1"/>
          <w14:textOutline w14:w="0" w14:cap="flat" w14:cmpd="sng" w14:algn="ctr">
            <w14:noFill/>
            <w14:prstDash w14:val="solid"/>
            <w14:bevel/>
          </w14:textOutline>
        </w:rPr>
        <w:t>Tons per year</w:t>
      </w: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xml:space="preserve"> – Projected tonnage based on recent history (2019-2021</w:t>
      </w:r>
      <w:proofErr w:type="gramStart"/>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and</w:t>
      </w:r>
      <w:proofErr w:type="gramEnd"/>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xml:space="preserve"> 2020 Franchise Agreement tonnage cap (1.1M tons/year). </w:t>
      </w:r>
      <w:r w:rsidRPr="0041791D">
        <w:rPr>
          <w:rFonts w:eastAsia="Arial Unicode MS" w:cstheme="minorHAnsi"/>
          <w:i/>
          <w:iCs/>
          <w:color w:val="000000"/>
          <w:sz w:val="24"/>
          <w:szCs w:val="24"/>
          <w:bdr w:val="none" w:sz="0" w:space="0" w:color="auto" w:frame="1"/>
          <w14:textOutline w14:w="0" w14:cap="flat" w14:cmpd="sng" w14:algn="ctr">
            <w14:noFill/>
            <w14:prstDash w14:val="solid"/>
            <w14:bevel/>
          </w14:textOutline>
        </w:rPr>
        <w:t>Does not reflect variables such as changes in disposal and diversion rates, natural disasters, market, and regulatory changes, etc.</w:t>
      </w:r>
    </w:p>
    <w:p w14:paraId="18504AFA" w14:textId="77777777" w:rsidR="006F646F" w:rsidRPr="0041791D" w:rsidRDefault="006F646F" w:rsidP="006F646F">
      <w:pPr>
        <w:numPr>
          <w:ilvl w:val="0"/>
          <w:numId w:val="26"/>
        </w:numPr>
        <w:contextualSpacing/>
        <w:rPr>
          <w:rFonts w:eastAsia="Arial Unicode MS" w:cstheme="minorHAnsi"/>
          <w:color w:val="000000"/>
          <w:sz w:val="24"/>
          <w:szCs w:val="24"/>
          <w:bdr w:val="none" w:sz="0" w:space="0" w:color="auto" w:frame="1"/>
          <w14:textOutline w14:w="0" w14:cap="flat" w14:cmpd="sng" w14:algn="ctr">
            <w14:noFill/>
            <w14:prstDash w14:val="solid"/>
            <w14:bevel/>
          </w14:textOutline>
        </w:rPr>
      </w:pPr>
      <w:r w:rsidRPr="0041791D">
        <w:rPr>
          <w:rFonts w:eastAsia="Arial Unicode MS" w:cstheme="minorHAnsi"/>
          <w:b/>
          <w:bCs/>
          <w:color w:val="000000"/>
          <w:sz w:val="24"/>
          <w:szCs w:val="24"/>
          <w:bdr w:val="none" w:sz="0" w:space="0" w:color="auto" w:frame="1"/>
          <w14:textOutline w14:w="0" w14:cap="flat" w14:cmpd="sng" w14:algn="ctr">
            <w14:noFill/>
            <w14:prstDash w14:val="solid"/>
            <w14:bevel/>
          </w14:textOutline>
        </w:rPr>
        <w:t>Projected remaining airspace</w:t>
      </w: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xml:space="preserve"> – Airspace consumed in 2022 based on projected 2022 tonnage and the three-year density average. </w:t>
      </w:r>
      <w:r w:rsidRPr="0041791D">
        <w:rPr>
          <w:rFonts w:eastAsia="Arial Unicode MS" w:cstheme="minorHAnsi"/>
          <w:i/>
          <w:iCs/>
          <w:color w:val="000000"/>
          <w:sz w:val="24"/>
          <w:szCs w:val="24"/>
          <w:bdr w:val="none" w:sz="0" w:space="0" w:color="auto" w:frame="1"/>
          <w14:textOutline w14:w="0" w14:cap="flat" w14:cmpd="sng" w14:algn="ctr">
            <w14:noFill/>
            <w14:prstDash w14:val="solid"/>
            <w14:bevel/>
          </w14:textOutline>
        </w:rPr>
        <w:t>“Remaining airspace” includes approximately 2.7M cubic yards of quarry rock; how much of and by when this rock can be converted to airspace is currently unknown.</w:t>
      </w: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xml:space="preserve"> Quarry extraction in 2022 freed up approximately 140,000 cubic yards.</w:t>
      </w:r>
    </w:p>
    <w:p w14:paraId="5B5929E4" w14:textId="77777777" w:rsidR="006F646F" w:rsidRPr="0041791D" w:rsidRDefault="006F646F" w:rsidP="006F646F">
      <w:pPr>
        <w:numPr>
          <w:ilvl w:val="0"/>
          <w:numId w:val="26"/>
        </w:numPr>
        <w:contextualSpacing/>
        <w:rPr>
          <w:rFonts w:eastAsia="Arial Unicode MS" w:cstheme="minorHAnsi"/>
          <w:color w:val="000000"/>
          <w:sz w:val="24"/>
          <w:szCs w:val="24"/>
          <w:bdr w:val="none" w:sz="0" w:space="0" w:color="auto" w:frame="1"/>
          <w14:textOutline w14:w="0" w14:cap="flat" w14:cmpd="sng" w14:algn="ctr">
            <w14:noFill/>
            <w14:prstDash w14:val="solid"/>
            <w14:bevel/>
          </w14:textOutline>
        </w:rPr>
      </w:pPr>
      <w:r w:rsidRPr="0041791D">
        <w:rPr>
          <w:rFonts w:eastAsia="Arial Unicode MS" w:cstheme="minorHAnsi"/>
          <w:b/>
          <w:bCs/>
          <w:color w:val="000000"/>
          <w:sz w:val="24"/>
          <w:szCs w:val="24"/>
          <w:bdr w:val="none" w:sz="0" w:space="0" w:color="auto" w:frame="1"/>
          <w14:textOutline w14:w="0" w14:cap="flat" w14:cmpd="sng" w14:algn="ctr">
            <w14:noFill/>
            <w14:prstDash w14:val="solid"/>
            <w14:bevel/>
          </w14:textOutline>
        </w:rPr>
        <w:t>2022, three-year-density average</w:t>
      </w: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xml:space="preserve"> – Derived from 2020-22 measurements. 2022 density based on 2021 measurements.</w:t>
      </w:r>
    </w:p>
    <w:p w14:paraId="06A8FE34" w14:textId="77777777" w:rsidR="006F646F" w:rsidRPr="0041791D" w:rsidRDefault="006F646F" w:rsidP="006F646F">
      <w:pPr>
        <w:numPr>
          <w:ilvl w:val="0"/>
          <w:numId w:val="26"/>
        </w:numPr>
        <w:contextualSpacing/>
        <w:rPr>
          <w:rFonts w:eastAsia="Arial Unicode MS" w:cstheme="minorHAnsi"/>
          <w:i/>
          <w:iCs/>
          <w:color w:val="000000"/>
          <w:sz w:val="24"/>
          <w:szCs w:val="24"/>
          <w:bdr w:val="none" w:sz="0" w:space="0" w:color="auto" w:frame="1"/>
          <w14:textOutline w14:w="0" w14:cap="flat" w14:cmpd="sng" w14:algn="ctr">
            <w14:noFill/>
            <w14:prstDash w14:val="solid"/>
            <w14:bevel/>
          </w14:textOutline>
        </w:rPr>
      </w:pPr>
      <w:r w:rsidRPr="0041791D">
        <w:rPr>
          <w:rFonts w:eastAsia="Arial Unicode MS" w:cstheme="minorHAnsi"/>
          <w:b/>
          <w:bCs/>
          <w:color w:val="000000"/>
          <w:sz w:val="24"/>
          <w:szCs w:val="24"/>
          <w:bdr w:val="none" w:sz="0" w:space="0" w:color="auto" w:frame="1"/>
          <w14:textOutline w14:w="0" w14:cap="flat" w14:cmpd="sng" w14:algn="ctr">
            <w14:noFill/>
            <w14:prstDash w14:val="solid"/>
            <w14:bevel/>
          </w14:textOutline>
        </w:rPr>
        <w:t>Site Life</w:t>
      </w:r>
      <w:r w:rsidRPr="0041791D">
        <w:rPr>
          <w:rFonts w:eastAsia="Arial Unicode MS" w:cstheme="minorHAnsi"/>
          <w:color w:val="000000"/>
          <w:sz w:val="24"/>
          <w:szCs w:val="24"/>
          <w:bdr w:val="none" w:sz="0" w:space="0" w:color="auto" w:frame="1"/>
          <w14:textOutline w14:w="0" w14:cap="flat" w14:cmpd="sng" w14:algn="ctr">
            <w14:noFill/>
            <w14:prstDash w14:val="solid"/>
            <w14:bevel/>
          </w14:textOutline>
        </w:rPr>
        <w:t xml:space="preserve"> – Time to fill the projected remaining airspace, </w:t>
      </w:r>
      <w:r w:rsidRPr="0041791D">
        <w:rPr>
          <w:rFonts w:eastAsia="Arial Unicode MS" w:cstheme="minorHAnsi"/>
          <w:i/>
          <w:iCs/>
          <w:color w:val="000000"/>
          <w:sz w:val="24"/>
          <w:szCs w:val="24"/>
          <w:bdr w:val="none" w:sz="0" w:space="0" w:color="auto" w:frame="1"/>
          <w14:textOutline w14:w="0" w14:cap="flat" w14:cmpd="sng" w14:algn="ctr">
            <w14:noFill/>
            <w14:prstDash w14:val="solid"/>
            <w14:bevel/>
          </w14:textOutline>
        </w:rPr>
        <w:t>including the permitted airspace that is currently unexcavated.</w:t>
      </w:r>
    </w:p>
    <w:p w14:paraId="1C2CB35C" w14:textId="77777777" w:rsidR="006F646F" w:rsidRPr="0041791D" w:rsidRDefault="006F646F" w:rsidP="006F646F">
      <w:pPr>
        <w:pStyle w:val="ListParagraph"/>
        <w:numPr>
          <w:ilvl w:val="0"/>
          <w:numId w:val="26"/>
        </w:numPr>
        <w:rPr>
          <w:rFonts w:asciiTheme="minorHAnsi" w:eastAsia="Arial Unicode MS" w:hAnsiTheme="minorHAnsi" w:cstheme="minorHAnsi"/>
          <w:color w:val="000000"/>
          <w:sz w:val="24"/>
          <w:szCs w:val="24"/>
          <w:bdr w:val="none" w:sz="0" w:space="0" w:color="auto" w:frame="1"/>
          <w14:textOutline w14:w="0" w14:cap="flat" w14:cmpd="sng" w14:algn="ctr">
            <w14:noFill/>
            <w14:prstDash w14:val="solid"/>
            <w14:bevel/>
          </w14:textOutline>
        </w:rPr>
      </w:pPr>
      <w:commentRangeStart w:id="238"/>
      <w:r w:rsidRPr="0041791D">
        <w:rPr>
          <w:rFonts w:asciiTheme="minorHAnsi" w:eastAsia="Arial Unicode MS" w:hAnsiTheme="minorHAnsi" w:cstheme="minorHAnsi"/>
          <w:color w:val="000000"/>
          <w:sz w:val="24"/>
          <w:szCs w:val="24"/>
          <w:bdr w:val="none" w:sz="0" w:space="0" w:color="auto" w:frame="1"/>
          <w14:textOutline w14:w="0" w14:cap="flat" w14:cmpd="sng" w14:algn="ctr">
            <w14:noFill/>
            <w14:prstDash w14:val="solid"/>
            <w14:bevel/>
          </w14:textOutline>
        </w:rPr>
        <w:t xml:space="preserve">Landfill Life </w:t>
      </w:r>
      <w:commentRangeEnd w:id="238"/>
      <w:r w:rsidRPr="0041791D">
        <w:rPr>
          <w:rStyle w:val="CommentReference"/>
          <w:rFonts w:asciiTheme="minorHAnsi" w:hAnsiTheme="minorHAnsi" w:cstheme="minorHAnsi"/>
          <w:sz w:val="24"/>
          <w:szCs w:val="24"/>
        </w:rPr>
        <w:commentReference w:id="238"/>
      </w:r>
      <w:r w:rsidRPr="0041791D">
        <w:rPr>
          <w:rFonts w:asciiTheme="minorHAnsi" w:eastAsia="Arial Unicode MS" w:hAnsiTheme="minorHAnsi" w:cstheme="minorHAnsi"/>
          <w:color w:val="000000"/>
          <w:sz w:val="24"/>
          <w:szCs w:val="24"/>
          <w:bdr w:val="none" w:sz="0" w:space="0" w:color="auto" w:frame="1"/>
          <w14:textOutline w14:w="0" w14:cap="flat" w14:cmpd="sng" w14:algn="ctr">
            <w14:noFill/>
            <w14:prstDash w14:val="solid"/>
            <w14:bevel/>
          </w14:textOutline>
        </w:rPr>
        <w:t xml:space="preserve">is </w:t>
      </w:r>
      <w:proofErr w:type="gramStart"/>
      <w:r w:rsidRPr="0041791D">
        <w:rPr>
          <w:rFonts w:asciiTheme="minorHAnsi" w:eastAsia="Arial Unicode MS" w:hAnsiTheme="minorHAnsi" w:cstheme="minorHAnsi"/>
          <w:color w:val="000000"/>
          <w:sz w:val="24"/>
          <w:szCs w:val="24"/>
          <w:bdr w:val="none" w:sz="0" w:space="0" w:color="auto" w:frame="1"/>
          <w14:textOutline w14:w="0" w14:cap="flat" w14:cmpd="sng" w14:algn="ctr">
            <w14:noFill/>
            <w14:prstDash w14:val="solid"/>
            <w14:bevel/>
          </w14:textOutline>
        </w:rPr>
        <w:t>the  availability</w:t>
      </w:r>
      <w:proofErr w:type="gramEnd"/>
      <w:r w:rsidRPr="0041791D">
        <w:rPr>
          <w:rFonts w:asciiTheme="minorHAnsi" w:eastAsia="Arial Unicode MS" w:hAnsiTheme="minorHAnsi" w:cstheme="minorHAnsi"/>
          <w:color w:val="000000"/>
          <w:sz w:val="24"/>
          <w:szCs w:val="24"/>
          <w:bdr w:val="none" w:sz="0" w:space="0" w:color="auto" w:frame="1"/>
          <w14:textOutline w14:w="0" w14:cap="flat" w14:cmpd="sng" w14:algn="ctr">
            <w14:noFill/>
            <w14:prstDash w14:val="solid"/>
            <w14:bevel/>
          </w14:textOutline>
        </w:rPr>
        <w:t xml:space="preserve"> of landfill reserves and landfill alternatives that sustains the landfill’s demand, supply and equilibrium of refuse disposal. </w:t>
      </w:r>
    </w:p>
    <w:p w14:paraId="79E9992D" w14:textId="77777777" w:rsidR="006F646F" w:rsidRPr="0041791D" w:rsidRDefault="006F646F" w:rsidP="006F646F">
      <w:pPr>
        <w:pStyle w:val="Heading3"/>
        <w:numPr>
          <w:ilvl w:val="0"/>
          <w:numId w:val="30"/>
        </w:numPr>
        <w:tabs>
          <w:tab w:val="num" w:pos="360"/>
        </w:tabs>
        <w:rPr>
          <w:rFonts w:asciiTheme="minorHAnsi" w:eastAsia="Calibri" w:hAnsiTheme="minorHAnsi" w:cstheme="minorHAnsi"/>
          <w:color w:val="4472C4"/>
          <w:u w:val="single"/>
        </w:rPr>
      </w:pPr>
      <w:bookmarkStart w:id="239" w:name="_Events_and_Factors"/>
      <w:bookmarkStart w:id="240" w:name="_Toc128666899"/>
      <w:bookmarkStart w:id="241" w:name="_Toc129256732"/>
      <w:bookmarkEnd w:id="239"/>
      <w:r w:rsidRPr="0041791D">
        <w:rPr>
          <w:rFonts w:asciiTheme="minorHAnsi" w:eastAsia="Calibri" w:hAnsiTheme="minorHAnsi" w:cstheme="minorHAnsi"/>
        </w:rPr>
        <w:t xml:space="preserve">Events and Factors that could impact </w:t>
      </w:r>
      <w:proofErr w:type="gramStart"/>
      <w:r w:rsidRPr="0041791D">
        <w:rPr>
          <w:rFonts w:asciiTheme="minorHAnsi" w:eastAsia="Calibri" w:hAnsiTheme="minorHAnsi" w:cstheme="minorHAnsi"/>
        </w:rPr>
        <w:t>life</w:t>
      </w:r>
      <w:bookmarkEnd w:id="240"/>
      <w:bookmarkEnd w:id="241"/>
      <w:proofErr w:type="gramEnd"/>
    </w:p>
    <w:p w14:paraId="11A63B80" w14:textId="77777777" w:rsidR="006F646F" w:rsidRPr="0041791D" w:rsidRDefault="006F646F" w:rsidP="006F646F">
      <w:pPr>
        <w:spacing w:after="240" w:line="240" w:lineRule="auto"/>
        <w:rPr>
          <w:rFonts w:eastAsia="Calibri" w:cstheme="minorHAnsi"/>
          <w:bCs/>
          <w:sz w:val="24"/>
          <w:szCs w:val="24"/>
        </w:rPr>
      </w:pPr>
      <w:r w:rsidRPr="0041791D">
        <w:rPr>
          <w:rFonts w:eastAsia="Calibri" w:cstheme="minorHAnsi"/>
          <w:bCs/>
          <w:sz w:val="24"/>
          <w:szCs w:val="24"/>
        </w:rPr>
        <w:t xml:space="preserve">As noted, Republic Services and other landfill owners/operators generally estimate a facility’s lifespan by calculating three variables on an annual basis, using data from previous years as a roadmap: </w:t>
      </w:r>
    </w:p>
    <w:p w14:paraId="3145638F" w14:textId="77777777" w:rsidR="006F646F" w:rsidRPr="0041791D" w:rsidRDefault="006F646F" w:rsidP="006F646F">
      <w:pPr>
        <w:numPr>
          <w:ilvl w:val="0"/>
          <w:numId w:val="27"/>
        </w:numPr>
        <w:spacing w:after="240" w:line="240" w:lineRule="auto"/>
        <w:contextualSpacing/>
        <w:rPr>
          <w:rFonts w:eastAsia="Calibri" w:cstheme="minorHAnsi"/>
          <w:bCs/>
          <w:sz w:val="24"/>
          <w:szCs w:val="24"/>
        </w:rPr>
      </w:pPr>
      <w:r w:rsidRPr="0041791D">
        <w:rPr>
          <w:rFonts w:eastAsia="Calibri" w:cstheme="minorHAnsi"/>
          <w:bCs/>
          <w:sz w:val="24"/>
          <w:szCs w:val="24"/>
        </w:rPr>
        <w:t>Amount of space available (airspace)</w:t>
      </w:r>
    </w:p>
    <w:p w14:paraId="4E09386B" w14:textId="77777777" w:rsidR="006F646F" w:rsidRPr="0041791D" w:rsidRDefault="006F646F" w:rsidP="006F646F">
      <w:pPr>
        <w:numPr>
          <w:ilvl w:val="0"/>
          <w:numId w:val="27"/>
        </w:numPr>
        <w:spacing w:after="240" w:line="240" w:lineRule="auto"/>
        <w:contextualSpacing/>
        <w:rPr>
          <w:rFonts w:eastAsia="Calibri" w:cstheme="minorHAnsi"/>
          <w:bCs/>
          <w:sz w:val="24"/>
          <w:szCs w:val="24"/>
        </w:rPr>
      </w:pPr>
      <w:r w:rsidRPr="0041791D">
        <w:rPr>
          <w:rFonts w:eastAsia="Calibri" w:cstheme="minorHAnsi"/>
          <w:bCs/>
          <w:sz w:val="24"/>
          <w:szCs w:val="24"/>
        </w:rPr>
        <w:t>Amount of waste accepted (tonnage)</w:t>
      </w:r>
    </w:p>
    <w:p w14:paraId="52C6480C" w14:textId="77777777" w:rsidR="006F646F" w:rsidRPr="0041791D" w:rsidRDefault="006F646F" w:rsidP="006F646F">
      <w:pPr>
        <w:numPr>
          <w:ilvl w:val="0"/>
          <w:numId w:val="27"/>
        </w:numPr>
        <w:spacing w:after="240" w:line="240" w:lineRule="auto"/>
        <w:contextualSpacing/>
        <w:rPr>
          <w:rFonts w:eastAsia="Calibri" w:cstheme="minorHAnsi"/>
          <w:bCs/>
          <w:sz w:val="24"/>
          <w:szCs w:val="24"/>
        </w:rPr>
      </w:pPr>
      <w:r w:rsidRPr="0041791D">
        <w:rPr>
          <w:rFonts w:eastAsia="Calibri" w:cstheme="minorHAnsi"/>
          <w:bCs/>
          <w:sz w:val="24"/>
          <w:szCs w:val="24"/>
        </w:rPr>
        <w:t>Density of the waste (tons per cubic yard)</w:t>
      </w:r>
    </w:p>
    <w:p w14:paraId="1BC6D2C6" w14:textId="77777777" w:rsidR="006F646F" w:rsidRPr="0041791D" w:rsidRDefault="006F646F" w:rsidP="006F646F">
      <w:pPr>
        <w:spacing w:after="240" w:line="240" w:lineRule="auto"/>
        <w:rPr>
          <w:rFonts w:eastAsia="Calibri" w:cstheme="minorHAnsi"/>
          <w:bCs/>
          <w:sz w:val="24"/>
          <w:szCs w:val="24"/>
        </w:rPr>
      </w:pPr>
      <w:r w:rsidRPr="0041791D">
        <w:rPr>
          <w:rFonts w:eastAsia="Calibri" w:cstheme="minorHAnsi"/>
          <w:bCs/>
          <w:sz w:val="24"/>
          <w:szCs w:val="24"/>
        </w:rPr>
        <w:t xml:space="preserve">The main discussion in this section is around the various factors that impact the first and second variables: </w:t>
      </w:r>
      <w:proofErr w:type="gramStart"/>
      <w:r w:rsidRPr="0041791D">
        <w:rPr>
          <w:rFonts w:eastAsia="Calibri" w:cstheme="minorHAnsi"/>
          <w:bCs/>
          <w:sz w:val="24"/>
          <w:szCs w:val="24"/>
        </w:rPr>
        <w:t>i.e.</w:t>
      </w:r>
      <w:proofErr w:type="gramEnd"/>
      <w:r w:rsidRPr="0041791D">
        <w:rPr>
          <w:rFonts w:eastAsia="Calibri" w:cstheme="minorHAnsi"/>
          <w:bCs/>
          <w:sz w:val="24"/>
          <w:szCs w:val="24"/>
        </w:rPr>
        <w:t xml:space="preserve"> the amount of space available (airspace) and the amount of waste accepted (tonnage.) </w:t>
      </w:r>
    </w:p>
    <w:p w14:paraId="08FC5540" w14:textId="25FD71F1" w:rsidR="006F646F" w:rsidRPr="009D18F5" w:rsidRDefault="006F646F" w:rsidP="006F646F">
      <w:pPr>
        <w:spacing w:after="240" w:line="240" w:lineRule="auto"/>
        <w:rPr>
          <w:rFonts w:eastAsia="Calibri" w:cstheme="minorHAnsi"/>
          <w:bCs/>
          <w:sz w:val="24"/>
          <w:szCs w:val="24"/>
        </w:rPr>
      </w:pPr>
      <w:r w:rsidRPr="0041791D">
        <w:rPr>
          <w:rFonts w:eastAsia="Calibri" w:cstheme="minorHAnsi"/>
          <w:bCs/>
          <w:sz w:val="24"/>
          <w:szCs w:val="24"/>
        </w:rPr>
        <w:t xml:space="preserve">Almost none of the factors relate to density of solid waste, so this discussion excludes that variable. The following graphic summarizes possible impacts of various factors on site </w:t>
      </w:r>
      <w:commentRangeStart w:id="242"/>
      <w:commentRangeStart w:id="243"/>
      <w:r w:rsidRPr="0041791D">
        <w:rPr>
          <w:rFonts w:eastAsia="Calibri" w:cstheme="minorHAnsi"/>
          <w:bCs/>
          <w:sz w:val="24"/>
          <w:szCs w:val="24"/>
        </w:rPr>
        <w:t>life</w:t>
      </w:r>
      <w:commentRangeEnd w:id="242"/>
      <w:r w:rsidRPr="0041791D">
        <w:rPr>
          <w:rFonts w:eastAsia="Calibri" w:cstheme="minorHAnsi"/>
          <w:sz w:val="24"/>
          <w:szCs w:val="24"/>
        </w:rPr>
        <w:commentReference w:id="242"/>
      </w:r>
      <w:commentRangeEnd w:id="243"/>
      <w:r w:rsidRPr="0041791D">
        <w:rPr>
          <w:rFonts w:eastAsia="Calibri" w:cstheme="minorHAnsi"/>
          <w:sz w:val="24"/>
          <w:szCs w:val="24"/>
        </w:rPr>
        <w:commentReference w:id="243"/>
      </w:r>
      <w:r w:rsidRPr="0041791D">
        <w:rPr>
          <w:rFonts w:eastAsia="Calibri" w:cstheme="minorHAnsi"/>
          <w:bCs/>
          <w:sz w:val="24"/>
          <w:szCs w:val="24"/>
        </w:rPr>
        <w:t xml:space="preserve">, meaning those that could impact the amount of space </w:t>
      </w:r>
      <w:proofErr w:type="gramStart"/>
      <w:r w:rsidRPr="0041791D">
        <w:rPr>
          <w:rFonts w:eastAsia="Calibri" w:cstheme="minorHAnsi"/>
          <w:bCs/>
          <w:sz w:val="24"/>
          <w:szCs w:val="24"/>
        </w:rPr>
        <w:t>available</w:t>
      </w:r>
      <w:proofErr w:type="gramEnd"/>
      <w:r w:rsidRPr="0041791D">
        <w:rPr>
          <w:rFonts w:eastAsia="Calibri" w:cstheme="minorHAnsi"/>
          <w:bCs/>
          <w:sz w:val="24"/>
          <w:szCs w:val="24"/>
        </w:rPr>
        <w:t xml:space="preserve"> and the amount of waste accepted:</w:t>
      </w:r>
    </w:p>
    <w:p w14:paraId="535F36F7"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 xml:space="preserve">The chart above, </w:t>
      </w:r>
      <w:commentRangeStart w:id="244"/>
      <w:r w:rsidRPr="0041791D">
        <w:rPr>
          <w:rFonts w:eastAsia="Calibri" w:cstheme="minorHAnsi"/>
          <w:bCs/>
          <w:sz w:val="24"/>
          <w:szCs w:val="24"/>
        </w:rPr>
        <w:t xml:space="preserve">submitted by Republic Services, </w:t>
      </w:r>
      <w:commentRangeEnd w:id="244"/>
      <w:r w:rsidRPr="0041791D">
        <w:rPr>
          <w:rFonts w:eastAsia="Calibri" w:cstheme="minorHAnsi"/>
          <w:bCs/>
          <w:sz w:val="24"/>
          <w:szCs w:val="24"/>
        </w:rPr>
        <w:commentReference w:id="244"/>
      </w:r>
      <w:r w:rsidRPr="0041791D">
        <w:rPr>
          <w:rFonts w:eastAsia="Calibri" w:cstheme="minorHAnsi"/>
          <w:bCs/>
          <w:sz w:val="24"/>
          <w:szCs w:val="24"/>
        </w:rPr>
        <w:t xml:space="preserve">lists factors and elements that could impact Coffin Butte’s site life in ways not foreseen in the baseline (Scenario 1 and 2) approach outlined above. The subcommittee believes that it’s likely that one or more of these factors could occur in concert with each </w:t>
      </w:r>
      <w:commentRangeStart w:id="245"/>
      <w:r w:rsidRPr="0041791D">
        <w:rPr>
          <w:rFonts w:eastAsia="Calibri" w:cstheme="minorHAnsi"/>
          <w:bCs/>
          <w:sz w:val="24"/>
          <w:szCs w:val="24"/>
        </w:rPr>
        <w:t>other</w:t>
      </w:r>
      <w:commentRangeEnd w:id="245"/>
      <w:r w:rsidRPr="0041791D">
        <w:rPr>
          <w:rFonts w:eastAsia="Calibri" w:cstheme="minorHAnsi"/>
          <w:bCs/>
          <w:sz w:val="24"/>
          <w:szCs w:val="24"/>
        </w:rPr>
        <w:commentReference w:id="245"/>
      </w:r>
      <w:r w:rsidRPr="0041791D">
        <w:rPr>
          <w:rFonts w:eastAsia="Calibri" w:cstheme="minorHAnsi"/>
          <w:bCs/>
          <w:sz w:val="24"/>
          <w:szCs w:val="24"/>
        </w:rPr>
        <w:t>.</w:t>
      </w:r>
    </w:p>
    <w:p w14:paraId="06CC7CD9"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For example, an expansion through approval of a CUP is listed as a “positive” factor – meaning one that could increase the Landfill’s site life and longevity. However, it is possible that any positive gain from such a factor would be neutralized or lessened by a “negative” element listed above (such as another wildfire or continued population growth in the region.)</w:t>
      </w:r>
    </w:p>
    <w:p w14:paraId="6DDE3F83"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Items listed in the neutral category are defined as such because they serve as “swing” factors – climate change legislation, for example, could yield either a positive or negative impact on site life depending on political influences and authors that shape it.</w:t>
      </w:r>
    </w:p>
    <w:p w14:paraId="023764A7"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In addition, the future construction of a transfer station, alternate disposal options and other such factors as contemplated in a wide-ranging Solid Materials Management Plan could likely produce new options for refuse disposal for Benton County and neighboring municipalities and counties.</w:t>
      </w:r>
    </w:p>
    <w:p w14:paraId="221D090D"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Therefore, the intent of the above graphic is not to provide an either/or solution, but to convey that an evolving array of factors, including future legislative and economic influences, could produce a matrix of outcomes that not only impact Landfill life but foster new waste management solutions as contemplated by the sustainable management sub-committee.</w:t>
      </w:r>
    </w:p>
    <w:p w14:paraId="4EF0FBE9" w14:textId="1934FD21" w:rsidR="006F646F" w:rsidRPr="00297F08" w:rsidRDefault="006F646F" w:rsidP="006F646F">
      <w:pPr>
        <w:pBdr>
          <w:top w:val="nil"/>
          <w:left w:val="nil"/>
          <w:bottom w:val="nil"/>
          <w:right w:val="nil"/>
          <w:between w:val="nil"/>
          <w:bar w:val="nil"/>
        </w:pBdr>
        <w:rPr>
          <w:rFonts w:eastAsia="Calibri" w:cstheme="minorHAnsi"/>
          <w:bCs/>
          <w:i/>
          <w:iCs/>
          <w:sz w:val="24"/>
          <w:szCs w:val="24"/>
        </w:rPr>
      </w:pPr>
      <w:r w:rsidRPr="00297F08">
        <w:rPr>
          <w:rFonts w:eastAsia="Calibri" w:cstheme="minorHAnsi"/>
          <w:bCs/>
          <w:i/>
          <w:iCs/>
          <w:sz w:val="24"/>
          <w:szCs w:val="24"/>
        </w:rPr>
        <w:t>Assumptions and scenarios</w:t>
      </w:r>
      <w:r w:rsidR="00297F08">
        <w:rPr>
          <w:rFonts w:eastAsia="Calibri" w:cstheme="minorHAnsi"/>
          <w:bCs/>
          <w:i/>
          <w:iCs/>
          <w:sz w:val="24"/>
          <w:szCs w:val="24"/>
        </w:rPr>
        <w:t>:</w:t>
      </w:r>
    </w:p>
    <w:p w14:paraId="0DFCEF5E"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 xml:space="preserve">While the subcommittee has generated a list of potential factors that could impact site life, these are by no means exhaustive. Our goal was to begin to describe the “terrain” that the Landfill’s future could </w:t>
      </w:r>
      <w:commentRangeStart w:id="246"/>
      <w:r w:rsidRPr="0041791D">
        <w:rPr>
          <w:rFonts w:eastAsia="Calibri" w:cstheme="minorHAnsi"/>
          <w:bCs/>
          <w:sz w:val="24"/>
          <w:szCs w:val="24"/>
        </w:rPr>
        <w:t>traverse</w:t>
      </w:r>
      <w:commentRangeEnd w:id="246"/>
      <w:r w:rsidRPr="0041791D">
        <w:rPr>
          <w:rFonts w:eastAsia="Calibri" w:cstheme="minorHAnsi"/>
          <w:bCs/>
          <w:sz w:val="24"/>
          <w:szCs w:val="24"/>
        </w:rPr>
        <w:commentReference w:id="246"/>
      </w:r>
      <w:r w:rsidRPr="0041791D">
        <w:rPr>
          <w:rFonts w:eastAsia="Calibri" w:cstheme="minorHAnsi"/>
          <w:bCs/>
          <w:sz w:val="24"/>
          <w:szCs w:val="24"/>
        </w:rPr>
        <w:t>.</w:t>
      </w:r>
    </w:p>
    <w:p w14:paraId="3B7794D5"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 xml:space="preserve">The subcommittee also agrees that so-called “human factors” play a significant role in any Landfill’s longevity, because they determine not only the flow of material that fills up the Landfill’s permitted volume but what comprises that </w:t>
      </w:r>
      <w:commentRangeStart w:id="247"/>
      <w:r w:rsidRPr="0041791D">
        <w:rPr>
          <w:rFonts w:eastAsia="Calibri" w:cstheme="minorHAnsi"/>
          <w:bCs/>
          <w:sz w:val="24"/>
          <w:szCs w:val="24"/>
        </w:rPr>
        <w:t>material</w:t>
      </w:r>
      <w:commentRangeEnd w:id="247"/>
      <w:r w:rsidRPr="0041791D">
        <w:rPr>
          <w:rFonts w:eastAsia="Calibri" w:cstheme="minorHAnsi"/>
          <w:bCs/>
          <w:sz w:val="24"/>
          <w:szCs w:val="24"/>
        </w:rPr>
        <w:commentReference w:id="247"/>
      </w:r>
      <w:r w:rsidRPr="0041791D">
        <w:rPr>
          <w:rFonts w:eastAsia="Calibri" w:cstheme="minorHAnsi"/>
          <w:bCs/>
          <w:sz w:val="24"/>
          <w:szCs w:val="24"/>
        </w:rPr>
        <w:t xml:space="preserve">. </w:t>
      </w:r>
    </w:p>
    <w:p w14:paraId="7595853E"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 xml:space="preserve">Unlike the layout of the Landfill or its permitted airspace (factors which are either pre-determined or yield a planned impact) these so-called human variables have the power to shift a Landfill’s operating life unexpectedly and very quickly. </w:t>
      </w:r>
    </w:p>
    <w:p w14:paraId="0425A1E0"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Business decisions and legal obligations, legislation, changing societal attitudes, technological advances global shifts in consumer habits are all key components of a broad system that ultimately determines what is reused as part of a circular economy -- and what is landfilled as waste.</w:t>
      </w:r>
    </w:p>
    <w:p w14:paraId="32BFB5B7" w14:textId="4DD1395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While the A.1 Subcommittee agrees that these factors are real and present, we struggled with how best to present them in terms of predictive scenarios from which the reader could potentially draw conclusions.</w:t>
      </w:r>
      <w:r w:rsidRPr="0041791D">
        <w:rPr>
          <w:rFonts w:eastAsia="Calibri" w:cstheme="minorHAnsi"/>
          <w:b/>
          <w:bCs/>
          <w:sz w:val="24"/>
          <w:szCs w:val="24"/>
        </w:rPr>
        <w:t xml:space="preserve"> </w:t>
      </w:r>
      <w:r w:rsidR="00AD7273">
        <w:rPr>
          <w:rFonts w:eastAsia="Calibri" w:cstheme="minorHAnsi"/>
          <w:b/>
          <w:bCs/>
          <w:sz w:val="24"/>
          <w:szCs w:val="24"/>
        </w:rPr>
        <w:t>W</w:t>
      </w:r>
      <w:r w:rsidRPr="0041791D">
        <w:rPr>
          <w:rFonts w:eastAsia="Calibri" w:cstheme="minorHAnsi"/>
          <w:b/>
          <w:bCs/>
          <w:sz w:val="24"/>
          <w:szCs w:val="24"/>
        </w:rPr>
        <w:t xml:space="preserve">e could not reach consensus on the merits of presenting them in terms of predictive scenarios from which the reader could potentially draw conclusions. </w:t>
      </w:r>
      <w:r w:rsidRPr="0041791D">
        <w:rPr>
          <w:rFonts w:eastAsia="Calibri" w:cstheme="minorHAnsi"/>
          <w:bCs/>
          <w:sz w:val="24"/>
          <w:szCs w:val="24"/>
        </w:rPr>
        <w:t>The subcommittee members who represent Republic Services and its interests support using the existing modeling data to shape its projections, while acknowledging the “caveats” presented in the graphic above. But they offer no speculative analysis.</w:t>
      </w:r>
    </w:p>
    <w:p w14:paraId="7FAAEED0"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 xml:space="preserve">The subcommittee members who represent community and neighborhood interests, meanwhile, supported a broader exploration of factors and impacts using predictive processes known </w:t>
      </w:r>
      <w:proofErr w:type="gramStart"/>
      <w:r w:rsidRPr="0041791D">
        <w:rPr>
          <w:rFonts w:eastAsia="Calibri" w:cstheme="minorHAnsi"/>
          <w:bCs/>
          <w:sz w:val="24"/>
          <w:szCs w:val="24"/>
        </w:rPr>
        <w:t>as  “</w:t>
      </w:r>
      <w:proofErr w:type="spellStart"/>
      <w:proofErr w:type="gramEnd"/>
      <w:r w:rsidRPr="0041791D">
        <w:rPr>
          <w:rFonts w:eastAsia="Calibri" w:cstheme="minorHAnsi"/>
          <w:bCs/>
          <w:sz w:val="24"/>
          <w:szCs w:val="24"/>
        </w:rPr>
        <w:t>futurecasting</w:t>
      </w:r>
      <w:proofErr w:type="spellEnd"/>
      <w:r w:rsidRPr="0041791D">
        <w:rPr>
          <w:rFonts w:eastAsia="Calibri" w:cstheme="minorHAnsi"/>
          <w:bCs/>
          <w:sz w:val="24"/>
          <w:szCs w:val="24"/>
        </w:rPr>
        <w:t xml:space="preserve">,” and “imagination </w:t>
      </w:r>
      <w:commentRangeStart w:id="248"/>
      <w:r w:rsidRPr="0041791D">
        <w:rPr>
          <w:rFonts w:eastAsia="Calibri" w:cstheme="minorHAnsi"/>
          <w:bCs/>
          <w:sz w:val="24"/>
          <w:szCs w:val="24"/>
        </w:rPr>
        <w:t>training</w:t>
      </w:r>
      <w:commentRangeEnd w:id="248"/>
      <w:r w:rsidRPr="0041791D">
        <w:rPr>
          <w:rFonts w:eastAsia="Calibri" w:cstheme="minorHAnsi"/>
          <w:bCs/>
          <w:sz w:val="24"/>
          <w:szCs w:val="24"/>
        </w:rPr>
        <w:commentReference w:id="248"/>
      </w:r>
      <w:r w:rsidRPr="0041791D">
        <w:rPr>
          <w:rFonts w:eastAsia="Calibri" w:cstheme="minorHAnsi"/>
          <w:bCs/>
          <w:sz w:val="24"/>
          <w:szCs w:val="24"/>
        </w:rPr>
        <w:t>.”</w:t>
      </w:r>
    </w:p>
    <w:p w14:paraId="5B98B0C0"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Ultimately, we decided as a subcommittee that these human-caused factors and scenarios need further review and detailed analysis, a careful examination that we were neither qualified nor had time to pursue given time constraints and the limited scope of this bridge process.</w:t>
      </w:r>
    </w:p>
    <w:p w14:paraId="0BC19417"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 xml:space="preserve">Therefore, we have posed a multitude of questions that we would like the SMMP subcommittee and its hired experts to delve into, in hopes of providing a more detailed picture of solid waste disposal options and Landfill longevity. </w:t>
      </w:r>
    </w:p>
    <w:p w14:paraId="1C5ADDC5" w14:textId="77777777" w:rsidR="006F646F" w:rsidRPr="0041791D" w:rsidRDefault="006F646F" w:rsidP="006F646F">
      <w:pPr>
        <w:pBdr>
          <w:top w:val="nil"/>
          <w:left w:val="nil"/>
          <w:bottom w:val="nil"/>
          <w:right w:val="nil"/>
          <w:between w:val="nil"/>
          <w:bar w:val="nil"/>
        </w:pBdr>
        <w:rPr>
          <w:rFonts w:eastAsia="Calibri" w:cstheme="minorHAnsi"/>
          <w:bCs/>
          <w:sz w:val="24"/>
          <w:szCs w:val="24"/>
        </w:rPr>
      </w:pPr>
      <w:r w:rsidRPr="0041791D">
        <w:rPr>
          <w:rFonts w:eastAsia="Calibri" w:cstheme="minorHAnsi"/>
          <w:bCs/>
          <w:sz w:val="24"/>
          <w:szCs w:val="24"/>
        </w:rPr>
        <w:t>Those questions are enumerated in the table below.</w:t>
      </w:r>
    </w:p>
    <w:p w14:paraId="64FA96DF" w14:textId="77777777" w:rsidR="006F646F" w:rsidRDefault="006F646F" w:rsidP="006F646F">
      <w:pPr>
        <w:rPr>
          <w:rFonts w:eastAsia="Times New Roman" w:cstheme="minorHAnsi"/>
          <w:b/>
          <w:bCs/>
          <w:i/>
          <w:iCs/>
          <w:color w:val="000000"/>
          <w:sz w:val="24"/>
          <w:szCs w:val="24"/>
        </w:rPr>
      </w:pPr>
    </w:p>
    <w:p w14:paraId="7C7ACDB6" w14:textId="77777777" w:rsidR="006F646F" w:rsidRDefault="006F646F" w:rsidP="006F646F">
      <w:pPr>
        <w:pStyle w:val="Body"/>
        <w:widowControl w:val="0"/>
        <w:rPr>
          <w:rFonts w:ascii="Times New Roman" w:eastAsia="Arial Unicode MS" w:hAnsi="Times New Roman" w:cs="Times New Roman"/>
          <w:color w:val="auto"/>
          <w:sz w:val="20"/>
          <w:bdr w:val="none" w:sz="0" w:space="0" w:color="auto"/>
        </w:rPr>
      </w:pPr>
    </w:p>
    <w:p w14:paraId="0E32C41E" w14:textId="77777777" w:rsidR="006F646F" w:rsidRDefault="006F646F" w:rsidP="006F646F">
      <w:pPr>
        <w:rPr>
          <w:rFonts w:eastAsia="Times New Roman" w:cstheme="minorHAnsi"/>
          <w:b/>
          <w:bCs/>
          <w:color w:val="000000"/>
          <w:sz w:val="24"/>
          <w:szCs w:val="24"/>
        </w:rPr>
      </w:pPr>
      <w:bookmarkStart w:id="249" w:name="_Hlk129616505"/>
      <w:r>
        <w:rPr>
          <w:rFonts w:eastAsia="Times New Roman" w:cstheme="minorHAnsi"/>
          <w:b/>
          <w:bCs/>
          <w:color w:val="000000"/>
          <w:sz w:val="24"/>
          <w:szCs w:val="24"/>
        </w:rPr>
        <w:t xml:space="preserve">Table: </w:t>
      </w:r>
      <w:r w:rsidRPr="00CB4950">
        <w:rPr>
          <w:rFonts w:eastAsia="Times New Roman" w:cstheme="minorHAnsi"/>
          <w:b/>
          <w:bCs/>
          <w:color w:val="000000"/>
          <w:sz w:val="24"/>
          <w:szCs w:val="24"/>
        </w:rPr>
        <w:t>Coffin Butte Landfill: How could site life change from the Baseline Scenario(s)?</w:t>
      </w:r>
    </w:p>
    <w:bookmarkEnd w:id="249"/>
    <w:p w14:paraId="4C9A7642" w14:textId="77777777" w:rsidR="006F646F" w:rsidRPr="00CB4950" w:rsidRDefault="006F646F" w:rsidP="006F646F">
      <w:pPr>
        <w:rPr>
          <w:rFonts w:eastAsia="Times New Roman" w:cstheme="minorHAnsi"/>
          <w:b/>
          <w:bCs/>
          <w:color w:val="000000"/>
          <w:sz w:val="24"/>
          <w:szCs w:val="24"/>
        </w:rPr>
        <w:sectPr w:rsidR="006F646F" w:rsidRPr="00CB4950" w:rsidSect="00FD6437">
          <w:type w:val="nextColumn"/>
          <w:pgSz w:w="12240" w:h="15840"/>
          <w:pgMar w:top="1008" w:right="1440" w:bottom="1008" w:left="1440" w:header="432" w:footer="432" w:gutter="0"/>
          <w:cols w:space="720"/>
          <w:docGrid w:linePitch="360"/>
        </w:sectPr>
      </w:pPr>
      <w:r>
        <w:rPr>
          <w:rFonts w:eastAsia="Times New Roman" w:cstheme="minorHAnsi"/>
          <w:b/>
          <w:bCs/>
          <w:color w:val="000000"/>
          <w:sz w:val="24"/>
          <w:szCs w:val="24"/>
        </w:rPr>
        <w:t>[Temporarily removed to correct file corruption issues]</w:t>
      </w:r>
    </w:p>
    <w:p w14:paraId="5CB7A721" w14:textId="77777777" w:rsidR="006F646F" w:rsidRPr="0041791D" w:rsidRDefault="006F646F" w:rsidP="006F646F">
      <w:pPr>
        <w:pBdr>
          <w:top w:val="nil"/>
          <w:left w:val="nil"/>
          <w:bottom w:val="nil"/>
          <w:right w:val="nil"/>
          <w:between w:val="nil"/>
          <w:bar w:val="nil"/>
        </w:pBdr>
        <w:rPr>
          <w:rFonts w:eastAsia="Arial Unicode MS" w:cstheme="minorHAnsi"/>
          <w:color w:val="FF0000"/>
          <w:sz w:val="24"/>
          <w:szCs w:val="24"/>
          <w:u w:color="FF0000"/>
          <w14:textOutline w14:w="0" w14:cap="flat" w14:cmpd="sng" w14:algn="ctr">
            <w14:noFill/>
            <w14:prstDash w14:val="solid"/>
            <w14:bevel/>
          </w14:textOutline>
        </w:rPr>
        <w:sectPr w:rsidR="006F646F" w:rsidRPr="0041791D" w:rsidSect="00FD6437">
          <w:type w:val="nextColumn"/>
          <w:pgSz w:w="15840" w:h="12240" w:orient="landscape"/>
          <w:pgMar w:top="1008" w:right="1440" w:bottom="1008" w:left="1440" w:header="432" w:footer="432" w:gutter="0"/>
          <w:cols w:space="720"/>
          <w:docGrid w:linePitch="360"/>
        </w:sectPr>
      </w:pPr>
    </w:p>
    <w:p w14:paraId="0C937F13" w14:textId="77777777" w:rsidR="006F646F" w:rsidRPr="00CB4950" w:rsidRDefault="006F646F" w:rsidP="006F646F">
      <w:pPr>
        <w:keepNext/>
        <w:keepLines/>
        <w:numPr>
          <w:ilvl w:val="0"/>
          <w:numId w:val="30"/>
        </w:numPr>
        <w:spacing w:before="240" w:after="240"/>
        <w:outlineLvl w:val="2"/>
        <w:rPr>
          <w:rFonts w:ascii="Calibri" w:eastAsia="Palatino Linotype" w:hAnsi="Calibri" w:cs="Calibri"/>
          <w:i/>
          <w:color w:val="FF0000"/>
          <w:sz w:val="24"/>
          <w:szCs w:val="24"/>
          <w:u w:color="FF0000"/>
        </w:rPr>
      </w:pPr>
      <w:bookmarkStart w:id="250" w:name="_Toc128666900"/>
      <w:bookmarkStart w:id="251" w:name="_Toc128669090"/>
      <w:bookmarkEnd w:id="1"/>
      <w:r w:rsidRPr="00CB4950">
        <w:rPr>
          <w:rFonts w:ascii="Calibri" w:eastAsia="Times New Roman" w:hAnsi="Calibri" w:cs="Calibri"/>
          <w:color w:val="2E74B5"/>
          <w:sz w:val="24"/>
          <w:szCs w:val="24"/>
        </w:rPr>
        <w:t>Coffin Butte Landfill: What factors could make the landfill close earlier than the Baseline Scenario(s)?</w:t>
      </w:r>
      <w:bookmarkEnd w:id="250"/>
      <w:bookmarkEnd w:id="251"/>
    </w:p>
    <w:p w14:paraId="117EA677"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subcommittee paid particular attention to factors that could lead to a landfill closure date earlier than 2037, because such </w:t>
      </w:r>
      <w:proofErr w:type="gramStart"/>
      <w:r w:rsidRPr="00CB4950">
        <w:rPr>
          <w:rFonts w:ascii="Calibri" w:eastAsia="Palatino Linotype" w:hAnsi="Calibri" w:cs="Calibri"/>
          <w:color w:val="000000"/>
          <w:sz w:val="24"/>
          <w:szCs w:val="24"/>
          <w:u w:color="000000"/>
          <w:bdr w:val="nil"/>
        </w:rPr>
        <w:t>an</w:t>
      </w:r>
      <w:proofErr w:type="gramEnd"/>
      <w:r w:rsidRPr="00CB4950">
        <w:rPr>
          <w:rFonts w:ascii="Calibri" w:eastAsia="Palatino Linotype" w:hAnsi="Calibri" w:cs="Calibri"/>
          <w:color w:val="000000"/>
          <w:sz w:val="24"/>
          <w:szCs w:val="24"/>
          <w:u w:color="000000"/>
          <w:bdr w:val="nil"/>
        </w:rPr>
        <w:t xml:space="preserve"> development could have serious repercussions for Benton County and for everyone else in the landfill’s service area. These factors are discussed in more detail in this section, and graphs with representative assumptions are included to make these prospective outcomes easier to visualize. </w:t>
      </w:r>
    </w:p>
    <w:p w14:paraId="42C4DD4D"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156AA40C"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Calibri" w:hAnsi="Calibri" w:cs="Calibri"/>
          <w:color w:val="000000"/>
          <w:sz w:val="24"/>
          <w:szCs w:val="24"/>
          <w:u w:color="000000"/>
          <w:bdr w:val="nil"/>
        </w:rPr>
        <w:t xml:space="preserve">1. The </w:t>
      </w:r>
      <w:commentRangeStart w:id="252"/>
      <w:r w:rsidRPr="00CB4950">
        <w:rPr>
          <w:rFonts w:ascii="Calibri" w:eastAsia="Calibri" w:hAnsi="Calibri" w:cs="Calibri"/>
          <w:color w:val="000000"/>
          <w:sz w:val="24"/>
          <w:szCs w:val="24"/>
          <w:u w:color="000000"/>
          <w:bdr w:val="nil"/>
        </w:rPr>
        <w:t>baseline scenario</w:t>
      </w:r>
      <w:commentRangeEnd w:id="252"/>
      <w:r w:rsidRPr="00CB4950">
        <w:rPr>
          <w:rFonts w:ascii="Calibri" w:eastAsia="Calibri" w:hAnsi="Calibri" w:cs="Calibri"/>
          <w:sz w:val="24"/>
          <w:szCs w:val="24"/>
          <w:u w:color="000000"/>
        </w:rPr>
        <w:commentReference w:id="252"/>
      </w:r>
      <w:r w:rsidRPr="00CB4950">
        <w:rPr>
          <w:rFonts w:ascii="Calibri" w:eastAsia="Palatino Linotype" w:hAnsi="Calibri" w:cs="Calibri"/>
          <w:noProof/>
          <w:color w:val="000000"/>
          <w:sz w:val="24"/>
          <w:szCs w:val="24"/>
          <w:u w:color="000000"/>
          <w:bdr w:val="nil"/>
        </w:rPr>
        <w:drawing>
          <wp:anchor distT="152400" distB="152400" distL="152400" distR="152400" simplePos="0" relativeHeight="251675648" behindDoc="0" locked="0" layoutInCell="1" allowOverlap="1" wp14:anchorId="7A7A7B1E" wp14:editId="47D215AD">
            <wp:simplePos x="0" y="0"/>
            <wp:positionH relativeFrom="margin">
              <wp:posOffset>-6350</wp:posOffset>
            </wp:positionH>
            <wp:positionV relativeFrom="line">
              <wp:posOffset>429260</wp:posOffset>
            </wp:positionV>
            <wp:extent cx="5943600" cy="3628390"/>
            <wp:effectExtent l="0" t="0" r="0" b="0"/>
            <wp:wrapThrough wrapText="bothSides">
              <wp:wrapPolygon edited="0">
                <wp:start x="0" y="0"/>
                <wp:lineTo x="0" y="21434"/>
                <wp:lineTo x="21531" y="21434"/>
                <wp:lineTo x="21531" y="0"/>
                <wp:lineTo x="0" y="0"/>
              </wp:wrapPolygon>
            </wp:wrapThrough>
            <wp:docPr id="1073741835" name="Picture 1073741835"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Picture 1073741835" descr="Chart, bar chart, histogram&#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6283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724285E"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012D66FC"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graph above visualizes Scenario 2 </w:t>
      </w:r>
      <w:proofErr w:type="gramStart"/>
      <w:r w:rsidRPr="00CB4950">
        <w:rPr>
          <w:rFonts w:ascii="Calibri" w:eastAsia="Palatino Linotype" w:hAnsi="Calibri" w:cs="Calibri"/>
          <w:color w:val="000000"/>
          <w:sz w:val="24"/>
          <w:szCs w:val="24"/>
          <w:u w:color="000000"/>
          <w:bdr w:val="nil"/>
        </w:rPr>
        <w:t>of  the</w:t>
      </w:r>
      <w:proofErr w:type="gramEnd"/>
      <w:r w:rsidRPr="00CB4950">
        <w:rPr>
          <w:rFonts w:ascii="Calibri" w:eastAsia="Palatino Linotype" w:hAnsi="Calibri" w:cs="Calibri"/>
          <w:color w:val="000000"/>
          <w:sz w:val="24"/>
          <w:szCs w:val="24"/>
          <w:u w:color="000000"/>
          <w:bdr w:val="nil"/>
        </w:rPr>
        <w:t xml:space="preserve"> formal baseline projection (</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lang w:val="da-DK"/>
        </w:rPr>
        <w:t>baseline</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 provided by the franchisee, from Section 3.C Table 1 above. This projection is derived from an upward limit of waste intake of 1.1 million tons a year, which is in turn derived from the limit specified in the 2020 Franchise Agreement, as shown on this graph. We will use this projection in the expanded scenarios that follow.</w:t>
      </w:r>
    </w:p>
    <w:p w14:paraId="45D473F0"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0270A658" w14:textId="77777777" w:rsidR="006F646F" w:rsidRPr="00CB4950" w:rsidRDefault="006F646F" w:rsidP="006F646F">
      <w:pPr>
        <w:pBdr>
          <w:top w:val="nil"/>
          <w:left w:val="nil"/>
          <w:bottom w:val="nil"/>
          <w:right w:val="nil"/>
          <w:between w:val="nil"/>
          <w:bar w:val="nil"/>
        </w:pBdr>
        <w:spacing w:line="256" w:lineRule="auto"/>
        <w:rPr>
          <w:rFonts w:ascii="Calibri" w:eastAsia="Arial Unicode MS" w:hAnsi="Calibri" w:cs="Calibri"/>
          <w:sz w:val="24"/>
          <w:szCs w:val="24"/>
          <w:u w:color="000000"/>
        </w:rPr>
      </w:pPr>
      <w:r w:rsidRPr="00CB4950">
        <w:rPr>
          <w:rFonts w:ascii="Calibri" w:eastAsia="Arial Unicode MS" w:hAnsi="Calibri" w:cs="Calibri"/>
          <w:color w:val="000000"/>
          <w:sz w:val="24"/>
          <w:szCs w:val="24"/>
          <w:u w:color="000000"/>
          <w:bdr w:val="nil"/>
        </w:rPr>
        <w:br w:type="page"/>
      </w:r>
    </w:p>
    <w:p w14:paraId="36AA28FA"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Calibri" w:hAnsi="Calibri" w:cs="Calibri"/>
          <w:color w:val="000000"/>
          <w:sz w:val="24"/>
          <w:szCs w:val="24"/>
          <w:u w:color="000000"/>
          <w:bdr w:val="nil"/>
        </w:rPr>
        <w:t>2. Quarry excavation: “What if the franchisee cannot excavate all of the quarry?”</w:t>
      </w:r>
      <w:r w:rsidRPr="00CB4950">
        <w:rPr>
          <w:rFonts w:ascii="Calibri" w:eastAsia="Palatino Linotype" w:hAnsi="Calibri" w:cs="Calibri"/>
          <w:noProof/>
          <w:color w:val="000000"/>
          <w:sz w:val="24"/>
          <w:szCs w:val="24"/>
          <w:u w:color="000000"/>
          <w:bdr w:val="nil"/>
        </w:rPr>
        <w:drawing>
          <wp:anchor distT="152400" distB="152400" distL="152400" distR="152400" simplePos="0" relativeHeight="251676672" behindDoc="0" locked="0" layoutInCell="1" allowOverlap="1" wp14:anchorId="6196575A" wp14:editId="5FA1F8CD">
            <wp:simplePos x="0" y="0"/>
            <wp:positionH relativeFrom="margin">
              <wp:posOffset>-5715</wp:posOffset>
            </wp:positionH>
            <wp:positionV relativeFrom="line">
              <wp:posOffset>469900</wp:posOffset>
            </wp:positionV>
            <wp:extent cx="5942965" cy="3629025"/>
            <wp:effectExtent l="0" t="0" r="635" b="9525"/>
            <wp:wrapThrough wrapText="bothSides">
              <wp:wrapPolygon edited="0">
                <wp:start x="0" y="0"/>
                <wp:lineTo x="0" y="21543"/>
                <wp:lineTo x="21533" y="21543"/>
                <wp:lineTo x="21533" y="0"/>
                <wp:lineTo x="0" y="0"/>
              </wp:wrapPolygon>
            </wp:wrapThrough>
            <wp:docPr id="1073741834" name="Picture 107374183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art, bar chart, histogram&#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2965" cy="36290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8F2E2B4"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roofErr w:type="gramStart"/>
      <w:r w:rsidRPr="00CB4950">
        <w:rPr>
          <w:rFonts w:ascii="Calibri" w:eastAsia="Palatino Linotype" w:hAnsi="Calibri" w:cs="Calibri"/>
          <w:color w:val="000000"/>
          <w:sz w:val="24"/>
          <w:szCs w:val="24"/>
          <w:u w:color="000000"/>
          <w:bdr w:val="nil"/>
        </w:rPr>
        <w:t xml:space="preserve">Roughly  </w:t>
      </w:r>
      <w:commentRangeStart w:id="253"/>
      <w:r w:rsidRPr="00CB4950">
        <w:rPr>
          <w:rFonts w:ascii="Calibri" w:eastAsia="Palatino Linotype" w:hAnsi="Calibri" w:cs="Calibri"/>
          <w:color w:val="000000"/>
          <w:sz w:val="24"/>
          <w:szCs w:val="24"/>
          <w:u w:color="000000"/>
          <w:bdr w:val="nil"/>
        </w:rPr>
        <w:t>2.7</w:t>
      </w:r>
      <w:proofErr w:type="gramEnd"/>
      <w:r w:rsidRPr="00CB4950">
        <w:rPr>
          <w:rFonts w:ascii="Calibri" w:eastAsia="Palatino Linotype" w:hAnsi="Calibri" w:cs="Calibri"/>
          <w:color w:val="000000"/>
          <w:sz w:val="24"/>
          <w:szCs w:val="24"/>
          <w:u w:color="000000"/>
          <w:bdr w:val="nil"/>
        </w:rPr>
        <w:t xml:space="preserve"> million cubic yards</w:t>
      </w:r>
      <w:commentRangeEnd w:id="253"/>
      <w:r w:rsidRPr="00CB4950">
        <w:rPr>
          <w:rFonts w:ascii="Calibri" w:eastAsia="Calibri" w:hAnsi="Calibri" w:cs="Calibri"/>
          <w:vanish/>
          <w:color w:val="000000"/>
          <w:sz w:val="24"/>
          <w:szCs w:val="24"/>
          <w:u w:color="000000"/>
          <w:bdr w:val="nil"/>
        </w:rPr>
        <w:commentReference w:id="253"/>
      </w:r>
      <w:r w:rsidRPr="00CB4950">
        <w:rPr>
          <w:rFonts w:ascii="Calibri" w:eastAsia="Palatino Linotype" w:hAnsi="Calibri" w:cs="Calibri"/>
          <w:color w:val="000000"/>
          <w:sz w:val="24"/>
          <w:szCs w:val="24"/>
          <w:u w:color="000000"/>
          <w:bdr w:val="nil"/>
        </w:rPr>
        <w:t xml:space="preserve"> of the landfill</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s permitted airspace is currently unavailable because it is unexcavated rock.</w:t>
      </w:r>
      <w:r w:rsidRPr="00CB4950">
        <w:rPr>
          <w:rFonts w:ascii="Calibri" w:eastAsia="Palatino Linotype" w:hAnsi="Calibri" w:cs="Calibri"/>
          <w:color w:val="000000"/>
          <w:sz w:val="24"/>
          <w:szCs w:val="24"/>
          <w:u w:color="000000"/>
          <w:bdr w:val="nil"/>
          <w:vertAlign w:val="superscript"/>
        </w:rPr>
        <w:footnoteReference w:id="2"/>
      </w:r>
      <w:r w:rsidRPr="00CB4950">
        <w:rPr>
          <w:rFonts w:ascii="Calibri" w:eastAsia="Palatino Linotype" w:hAnsi="Calibri" w:cs="Calibri"/>
          <w:color w:val="000000"/>
          <w:sz w:val="24"/>
          <w:szCs w:val="24"/>
          <w:u w:color="000000"/>
          <w:bdr w:val="nil"/>
        </w:rPr>
        <w:t xml:space="preserve"> The landfill</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s owner holds a surface mining permit for this rock, and franchises it to Knife River as a quarry. For the past few years Knife River has currently quarried the rock at a rate of roughly 150,000 cubic yards a year,</w:t>
      </w:r>
      <w:r w:rsidRPr="00CB4950">
        <w:rPr>
          <w:rFonts w:ascii="Calibri" w:eastAsia="Palatino Linotype" w:hAnsi="Calibri" w:cs="Calibri"/>
          <w:color w:val="000000"/>
          <w:sz w:val="24"/>
          <w:szCs w:val="24"/>
          <w:u w:color="000000"/>
          <w:bdr w:val="nil"/>
          <w:vertAlign w:val="superscript"/>
        </w:rPr>
        <w:footnoteReference w:id="3"/>
      </w:r>
      <w:r w:rsidRPr="00CB4950">
        <w:rPr>
          <w:rFonts w:ascii="Calibri" w:eastAsia="Palatino Linotype" w:hAnsi="Calibri" w:cs="Calibri"/>
          <w:color w:val="000000"/>
          <w:sz w:val="24"/>
          <w:szCs w:val="24"/>
          <w:u w:color="000000"/>
          <w:bdr w:val="nil"/>
        </w:rPr>
        <w:t xml:space="preserve"> so at a normal pace the airspace will not be fully available until the year 2040. </w:t>
      </w:r>
    </w:p>
    <w:p w14:paraId="58EFE2BD" w14:textId="2F5181FA"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This poses a dilemma for the landfill</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 xml:space="preserve">s </w:t>
      </w:r>
      <w:proofErr w:type="gramStart"/>
      <w:r w:rsidRPr="00CB4950">
        <w:rPr>
          <w:rFonts w:ascii="Calibri" w:eastAsia="Palatino Linotype" w:hAnsi="Calibri" w:cs="Calibri"/>
          <w:color w:val="000000"/>
          <w:sz w:val="24"/>
          <w:szCs w:val="24"/>
          <w:u w:color="000000"/>
          <w:bdr w:val="nil"/>
        </w:rPr>
        <w:t>owners, because</w:t>
      </w:r>
      <w:proofErr w:type="gramEnd"/>
      <w:r w:rsidRPr="00CB4950">
        <w:rPr>
          <w:rFonts w:ascii="Calibri" w:eastAsia="Palatino Linotype" w:hAnsi="Calibri" w:cs="Calibri"/>
          <w:color w:val="000000"/>
          <w:sz w:val="24"/>
          <w:szCs w:val="24"/>
          <w:u w:color="000000"/>
          <w:bdr w:val="nil"/>
        </w:rPr>
        <w:t xml:space="preserve"> the landfill is on track to fill its current cell in 3 years, when it will look to move operations into the quarry area. </w:t>
      </w:r>
      <w:commentRangeStart w:id="254"/>
      <w:r w:rsidRPr="007128BD">
        <w:rPr>
          <w:rFonts w:ascii="Calibri" w:eastAsia="Palatino Linotype" w:hAnsi="Calibri" w:cs="Calibri"/>
          <w:color w:val="000000"/>
          <w:sz w:val="24"/>
          <w:szCs w:val="24"/>
          <w:u w:color="000000"/>
          <w:bdr w:val="nil"/>
        </w:rPr>
        <w:t xml:space="preserve">As </w:t>
      </w:r>
      <w:proofErr w:type="gramStart"/>
      <w:r w:rsidRPr="007128BD">
        <w:rPr>
          <w:rFonts w:ascii="Calibri" w:eastAsia="Palatino Linotype" w:hAnsi="Calibri" w:cs="Calibri"/>
          <w:color w:val="000000"/>
          <w:sz w:val="24"/>
          <w:szCs w:val="24"/>
          <w:u w:color="000000"/>
          <w:bdr w:val="nil"/>
        </w:rPr>
        <w:t>noted</w:t>
      </w:r>
      <w:commentRangeEnd w:id="254"/>
      <w:proofErr w:type="gramEnd"/>
      <w:r>
        <w:rPr>
          <w:rStyle w:val="CommentReference"/>
          <w:rFonts w:ascii="Palatino Linotype" w:hAnsi="Palatino Linotype"/>
        </w:rPr>
        <w:commentReference w:id="254"/>
      </w:r>
      <w:r w:rsidRPr="007128BD">
        <w:rPr>
          <w:rFonts w:ascii="Calibri" w:eastAsia="Palatino Linotype" w:hAnsi="Calibri" w:cs="Calibri"/>
          <w:color w:val="000000"/>
          <w:sz w:val="24"/>
          <w:szCs w:val="24"/>
          <w:u w:color="000000"/>
          <w:bdr w:val="nil"/>
        </w:rPr>
        <w:t xml:space="preserve"> elsewhere in this document, Republic Services is working with Knife River on a possible solution to this problem, with the goal of accelerating excavations in the quarry over a two year period. </w:t>
      </w:r>
    </w:p>
    <w:p w14:paraId="05DA5437"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We do not currently know how much rock can be pre-excavated before landfilling operations move into the quarry airspace. We can display the possibility range graphically, assuming the unexcavated volume is 2.7 million cubic yards.</w:t>
      </w:r>
    </w:p>
    <w:p w14:paraId="23DD7682"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06DF51BB" w14:textId="77777777" w:rsidR="006F646F" w:rsidRPr="00CB4950" w:rsidRDefault="006F646F" w:rsidP="006F646F">
      <w:pPr>
        <w:pBdr>
          <w:top w:val="nil"/>
          <w:left w:val="nil"/>
          <w:bottom w:val="nil"/>
          <w:right w:val="nil"/>
          <w:between w:val="nil"/>
          <w:bar w:val="nil"/>
        </w:pBdr>
        <w:spacing w:after="0" w:line="240" w:lineRule="auto"/>
        <w:rPr>
          <w:rFonts w:ascii="Calibri" w:eastAsia="Arial Unicode MS" w:hAnsi="Calibri" w:cs="Calibri"/>
          <w:sz w:val="24"/>
          <w:szCs w:val="24"/>
          <w:u w:color="000000"/>
        </w:rPr>
      </w:pPr>
      <w:r w:rsidRPr="00CB4950">
        <w:rPr>
          <w:rFonts w:ascii="Calibri" w:eastAsia="Arial Unicode MS" w:hAnsi="Calibri" w:cs="Calibri"/>
          <w:color w:val="000000"/>
          <w:sz w:val="24"/>
          <w:szCs w:val="24"/>
          <w:u w:color="000000"/>
          <w:bdr w:val="nil"/>
        </w:rPr>
        <w:br w:type="page"/>
      </w:r>
    </w:p>
    <w:p w14:paraId="404F2476"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b/>
          <w:color w:val="000000"/>
          <w:sz w:val="24"/>
          <w:szCs w:val="24"/>
          <w:u w:color="000000"/>
          <w:bdr w:val="nil"/>
        </w:rPr>
        <w:t>4</w:t>
      </w:r>
      <w:r w:rsidRPr="00CB4950">
        <w:rPr>
          <w:rFonts w:ascii="Calibri" w:eastAsia="Calibri" w:hAnsi="Calibri" w:cs="Calibri"/>
          <w:color w:val="000000"/>
          <w:sz w:val="24"/>
          <w:szCs w:val="24"/>
          <w:u w:color="000000"/>
          <w:bdr w:val="nil"/>
        </w:rPr>
        <w:t>. Landfill expansion and intake limit removal: “What if the franchisee obtains a permit to expand the landfill, which will remove the intake cap?”</w:t>
      </w:r>
      <w:r w:rsidRPr="00CB4950">
        <w:rPr>
          <w:rFonts w:ascii="Calibri" w:eastAsia="Calibri" w:hAnsi="Calibri" w:cs="Calibri"/>
          <w:noProof/>
          <w:color w:val="000000"/>
          <w:sz w:val="24"/>
          <w:szCs w:val="24"/>
          <w:u w:color="000000"/>
          <w:bdr w:val="nil"/>
        </w:rPr>
        <w:drawing>
          <wp:anchor distT="152400" distB="152400" distL="152400" distR="152400" simplePos="0" relativeHeight="251678720" behindDoc="0" locked="0" layoutInCell="1" allowOverlap="1" wp14:anchorId="63D2B9E5" wp14:editId="263275D6">
            <wp:simplePos x="0" y="0"/>
            <wp:positionH relativeFrom="margin">
              <wp:posOffset>0</wp:posOffset>
            </wp:positionH>
            <wp:positionV relativeFrom="line">
              <wp:posOffset>452120</wp:posOffset>
            </wp:positionV>
            <wp:extent cx="5944235" cy="3910330"/>
            <wp:effectExtent l="0" t="0" r="0" b="0"/>
            <wp:wrapThrough wrapText="bothSides">
              <wp:wrapPolygon edited="0">
                <wp:start x="0" y="0"/>
                <wp:lineTo x="0" y="21467"/>
                <wp:lineTo x="21528" y="21467"/>
                <wp:lineTo x="21528" y="0"/>
                <wp:lineTo x="0" y="0"/>
              </wp:wrapPolygon>
            </wp:wrapThrough>
            <wp:docPr id="5" name="Picture 5"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 histogram&#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4235" cy="3910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5DE61" w14:textId="2E9B5D13"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baseline scenario </w:t>
      </w:r>
      <w:commentRangeStart w:id="255"/>
      <w:r w:rsidRPr="00CB4950">
        <w:rPr>
          <w:rFonts w:ascii="Calibri" w:eastAsia="Palatino Linotype" w:hAnsi="Calibri" w:cs="Calibri"/>
          <w:color w:val="000000"/>
          <w:sz w:val="24"/>
          <w:szCs w:val="24"/>
          <w:u w:color="000000"/>
          <w:bdr w:val="nil"/>
        </w:rPr>
        <w:t>may only be fully realized in combination with a landfill expansion</w:t>
      </w:r>
      <w:commentRangeEnd w:id="255"/>
      <w:r w:rsidRPr="00CB4950">
        <w:rPr>
          <w:rFonts w:ascii="Calibri" w:eastAsia="Calibri" w:hAnsi="Calibri" w:cs="Calibri"/>
          <w:vanish/>
          <w:color w:val="000000"/>
          <w:sz w:val="24"/>
          <w:szCs w:val="24"/>
          <w:u w:color="000000"/>
          <w:bdr w:val="nil"/>
        </w:rPr>
        <w:commentReference w:id="255"/>
      </w:r>
      <w:r w:rsidRPr="00CB4950">
        <w:rPr>
          <w:rFonts w:ascii="Calibri" w:eastAsia="Calibri" w:hAnsi="Calibri" w:cs="Calibri"/>
          <w:color w:val="000000"/>
          <w:sz w:val="24"/>
          <w:szCs w:val="24"/>
          <w:u w:color="000000"/>
          <w:bdr w:val="nil"/>
        </w:rPr>
        <w:t xml:space="preserve"> – </w:t>
      </w:r>
      <w:r w:rsidRPr="00CB4950">
        <w:rPr>
          <w:rFonts w:ascii="Calibri" w:eastAsia="Palatino Linotype" w:hAnsi="Calibri" w:cs="Calibri"/>
          <w:color w:val="000000"/>
          <w:sz w:val="24"/>
          <w:szCs w:val="24"/>
          <w:u w:color="000000"/>
          <w:bdr w:val="nil"/>
        </w:rPr>
        <w:t xml:space="preserve">to serve as a bridge landfilling site that allows time for the quarry airspace to be pre-excavated. The landfill owner has indicated that it will apply for such an expansion, likely in the first half of 2023. </w:t>
      </w:r>
    </w:p>
    <w:p w14:paraId="26B109D4" w14:textId="77777777" w:rsidR="006F646F" w:rsidRPr="002320EA" w:rsidRDefault="006F646F" w:rsidP="006F646F">
      <w:pPr>
        <w:pBdr>
          <w:top w:val="nil"/>
          <w:left w:val="nil"/>
          <w:bottom w:val="nil"/>
          <w:right w:val="nil"/>
          <w:between w:val="nil"/>
          <w:bar w:val="nil"/>
        </w:pBdr>
        <w:spacing w:line="256" w:lineRule="auto"/>
        <w:rPr>
          <w:rFonts w:ascii="Calibri" w:eastAsia="Arial Unicode MS" w:hAnsi="Calibri" w:cs="Calibri"/>
          <w:color w:val="000000"/>
          <w:sz w:val="24"/>
          <w:szCs w:val="24"/>
          <w:u w:color="000000"/>
          <w:bdr w:val="nil"/>
        </w:rPr>
      </w:pPr>
      <w:r w:rsidRPr="002320EA">
        <w:rPr>
          <w:rFonts w:ascii="Calibri" w:eastAsia="Arial Unicode MS" w:hAnsi="Calibri" w:cs="Calibri"/>
          <w:color w:val="000000"/>
          <w:sz w:val="24"/>
          <w:szCs w:val="24"/>
          <w:u w:color="000000"/>
          <w:bdr w:val="nil"/>
        </w:rPr>
        <w:t>Republic Services does not currently have a CUP proposal before the County and has committed to not filing any application prior to the conclusion of this Workgroup’s deliberations and recommendations. At this time, Republic Services has not decided the scope of its CUP expansion request. The company has indicated it is open to discussing a continuation or renegotiation of the tonnage cap as part of a new CUP application process.</w:t>
      </w:r>
    </w:p>
    <w:p w14:paraId="70D2D4A4" w14:textId="77777777" w:rsidR="006F646F" w:rsidRPr="00CB4950" w:rsidRDefault="006F646F" w:rsidP="006F646F">
      <w:pPr>
        <w:pBdr>
          <w:top w:val="nil"/>
          <w:left w:val="nil"/>
          <w:bottom w:val="nil"/>
          <w:right w:val="nil"/>
          <w:between w:val="nil"/>
          <w:bar w:val="nil"/>
        </w:pBdr>
        <w:spacing w:line="256" w:lineRule="auto"/>
        <w:rPr>
          <w:rFonts w:ascii="Calibri" w:eastAsia="Arial Unicode MS" w:hAnsi="Calibri" w:cs="Calibri"/>
          <w:sz w:val="24"/>
          <w:szCs w:val="24"/>
          <w:u w:color="000000"/>
        </w:rPr>
      </w:pPr>
      <w:r w:rsidRPr="002320EA">
        <w:rPr>
          <w:rFonts w:ascii="Calibri" w:eastAsia="Arial Unicode MS" w:hAnsi="Calibri" w:cs="Calibri"/>
          <w:color w:val="000000"/>
          <w:sz w:val="24"/>
          <w:szCs w:val="24"/>
          <w:u w:color="000000"/>
          <w:bdr w:val="nil"/>
        </w:rPr>
        <w:t>Given these unknowns, the graph above presumes two things: a) that a future expansion would include the area south of Coffin Butte Road, known as the “Expansion Parcel,” and b) the removal of the tonnage cap, as spelled out in the 2020 Franchise Agreement.</w:t>
      </w:r>
      <w:r w:rsidRPr="00CB4950">
        <w:rPr>
          <w:rFonts w:ascii="Calibri" w:eastAsia="Arial Unicode MS" w:hAnsi="Calibri" w:cs="Calibri"/>
          <w:color w:val="000000"/>
          <w:sz w:val="24"/>
          <w:szCs w:val="24"/>
          <w:u w:color="000000"/>
          <w:bdr w:val="nil"/>
        </w:rPr>
        <w:br w:type="page"/>
      </w:r>
    </w:p>
    <w:p w14:paraId="6334947B" w14:textId="17160FE2"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noProof/>
          <w:color w:val="000000"/>
          <w:sz w:val="24"/>
          <w:szCs w:val="24"/>
          <w:u w:color="000000"/>
          <w:bdr w:val="nil"/>
        </w:rPr>
        <w:drawing>
          <wp:anchor distT="152400" distB="152400" distL="152400" distR="152400" simplePos="0" relativeHeight="251677696" behindDoc="0" locked="0" layoutInCell="1" allowOverlap="1" wp14:anchorId="78DF5EF1" wp14:editId="320F4519">
            <wp:simplePos x="0" y="0"/>
            <wp:positionH relativeFrom="margin">
              <wp:posOffset>-38100</wp:posOffset>
            </wp:positionH>
            <wp:positionV relativeFrom="line">
              <wp:posOffset>551409</wp:posOffset>
            </wp:positionV>
            <wp:extent cx="5943600" cy="3628390"/>
            <wp:effectExtent l="0" t="0" r="0" b="0"/>
            <wp:wrapThrough wrapText="bothSides">
              <wp:wrapPolygon edited="0">
                <wp:start x="0" y="0"/>
                <wp:lineTo x="0" y="21434"/>
                <wp:lineTo x="21531" y="21434"/>
                <wp:lineTo x="21531" y="0"/>
                <wp:lineTo x="0" y="0"/>
              </wp:wrapPolygon>
            </wp:wrapThrough>
            <wp:docPr id="1073741827" name="Picture 1073741827"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art, bar chart, histogram&#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6283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B4950">
        <w:rPr>
          <w:rFonts w:ascii="Calibri" w:eastAsia="Palatino Linotype" w:hAnsi="Calibri" w:cs="Calibri"/>
          <w:b/>
          <w:color w:val="000000"/>
          <w:sz w:val="24"/>
          <w:szCs w:val="24"/>
          <w:u w:color="000000"/>
          <w:bdr w:val="nil"/>
        </w:rPr>
        <w:t>5</w:t>
      </w:r>
      <w:r w:rsidRPr="00CB4950">
        <w:rPr>
          <w:rFonts w:ascii="Calibri" w:eastAsia="Calibri" w:hAnsi="Calibri" w:cs="Calibri"/>
          <w:color w:val="000000"/>
          <w:sz w:val="24"/>
          <w:szCs w:val="24"/>
          <w:u w:color="000000"/>
          <w:bdr w:val="nil"/>
        </w:rPr>
        <w:t>. Intake Limit Exceeded: “What if the franchisee exceeds the 2020 Franchise Agreement limit?”</w:t>
      </w:r>
    </w:p>
    <w:p w14:paraId="73312B17" w14:textId="6C6B66D3"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2020 Franchise Agreement limits the franchisee to a cap of 1.1M tons per year, but does not include any provisions for enforcement of that cap. There is historical precedent; as described earlier in Section 1.C, when the 2000 Franchise Agreement limit was exceeded, Benton County signed a Memorandum of Understanding that allowed the exceedance with no extra </w:t>
      </w:r>
      <w:commentRangeStart w:id="256"/>
      <w:r w:rsidRPr="00CB4950">
        <w:rPr>
          <w:rFonts w:ascii="Calibri" w:eastAsia="Palatino Linotype" w:hAnsi="Calibri" w:cs="Calibri"/>
          <w:color w:val="000000"/>
          <w:sz w:val="24"/>
          <w:szCs w:val="24"/>
          <w:u w:color="000000"/>
          <w:bdr w:val="nil"/>
        </w:rPr>
        <w:t>fees per ton</w:t>
      </w:r>
      <w:commentRangeEnd w:id="256"/>
      <w:r w:rsidRPr="00CB4950">
        <w:rPr>
          <w:rFonts w:ascii="Calibri" w:eastAsia="Calibri" w:hAnsi="Calibri" w:cs="Calibri"/>
          <w:vanish/>
          <w:color w:val="000000"/>
          <w:sz w:val="24"/>
          <w:szCs w:val="24"/>
          <w:u w:color="000000"/>
          <w:bdr w:val="nil"/>
        </w:rPr>
        <w:commentReference w:id="256"/>
      </w:r>
      <w:r w:rsidRPr="00CB4950">
        <w:rPr>
          <w:rFonts w:ascii="Calibri" w:eastAsia="Palatino Linotype" w:hAnsi="Calibri" w:cs="Calibri"/>
          <w:color w:val="000000"/>
          <w:sz w:val="24"/>
          <w:szCs w:val="24"/>
          <w:u w:color="000000"/>
          <w:bdr w:val="nil"/>
        </w:rPr>
        <w:t>. There is contemporary precedent also, as the 2020 Franchise Agreement also specifies a fee-per-ton that would apply if the cap were contractually lifted when an expansion was approved. The scenario assumes there are business opportunities that enable the franchisee to grow the yearly intake, because those are what would motivate the exceedance in the first place.</w:t>
      </w:r>
    </w:p>
    <w:p w14:paraId="404F0D96" w14:textId="480FC5EF"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This scenario represents the effect on</w:t>
      </w:r>
      <w:r w:rsidRPr="00CB4950">
        <w:rPr>
          <w:rFonts w:ascii="Calibri" w:eastAsia="Calibri" w:hAnsi="Calibri" w:cs="Calibri"/>
          <w:color w:val="000000"/>
          <w:sz w:val="24"/>
          <w:szCs w:val="24"/>
          <w:u w:color="000000"/>
          <w:bdr w:val="nil"/>
        </w:rPr>
        <w:t xml:space="preserve"> landfill</w:t>
      </w:r>
      <w:commentRangeStart w:id="257"/>
      <w:r w:rsidRPr="00CB4950">
        <w:rPr>
          <w:rFonts w:ascii="Calibri" w:eastAsia="Calibri" w:hAnsi="Calibri" w:cs="Calibri"/>
          <w:color w:val="000000"/>
          <w:sz w:val="24"/>
          <w:szCs w:val="24"/>
          <w:u w:color="000000"/>
          <w:bdr w:val="nil"/>
          <w:lang w:val="nl-NL"/>
        </w:rPr>
        <w:t xml:space="preserve"> longevity</w:t>
      </w:r>
      <w:commentRangeEnd w:id="257"/>
      <w:r w:rsidRPr="00CB4950">
        <w:rPr>
          <w:rFonts w:ascii="Calibri" w:eastAsia="Calibri" w:hAnsi="Calibri" w:cs="Calibri"/>
          <w:vanish/>
          <w:color w:val="000000"/>
          <w:sz w:val="24"/>
          <w:szCs w:val="24"/>
          <w:u w:color="000000"/>
          <w:bdr w:val="nil"/>
        </w:rPr>
        <w:commentReference w:id="257"/>
      </w:r>
      <w:r w:rsidRPr="00CB4950">
        <w:rPr>
          <w:rFonts w:ascii="Calibri" w:eastAsia="Palatino Linotype" w:hAnsi="Calibri" w:cs="Calibri"/>
          <w:color w:val="000000"/>
          <w:sz w:val="24"/>
          <w:szCs w:val="24"/>
          <w:u w:color="000000"/>
          <w:bdr w:val="nil"/>
        </w:rPr>
        <w:t xml:space="preserve"> </w:t>
      </w:r>
      <w:r w:rsidRPr="00694146">
        <w:rPr>
          <w:rFonts w:ascii="Calibri" w:eastAsia="Palatino Linotype" w:hAnsi="Calibri" w:cs="Calibri"/>
          <w:color w:val="000000"/>
          <w:sz w:val="24"/>
          <w:szCs w:val="24"/>
          <w:u w:color="000000"/>
          <w:bdr w:val="nil"/>
        </w:rPr>
        <w:t>if annual intake volume at the Landfill exceeds that which is</w:t>
      </w:r>
      <w:r w:rsidRPr="00CB4950">
        <w:rPr>
          <w:rFonts w:ascii="Calibri" w:eastAsia="Palatino Linotype" w:hAnsi="Calibri" w:cs="Calibri"/>
          <w:color w:val="000000"/>
          <w:sz w:val="24"/>
          <w:szCs w:val="24"/>
          <w:u w:color="000000"/>
          <w:bdr w:val="nil"/>
        </w:rPr>
        <w:t xml:space="preserve"> specified in the 2020 Franchise Agreement and the County responds either with no action or with an accommodation agreement such as a per-ton surcharge.</w:t>
      </w:r>
      <w:r w:rsidRPr="00CB4950">
        <w:rPr>
          <w:rFonts w:ascii="Calibri" w:eastAsia="Calibri" w:hAnsi="Calibri" w:cs="Calibri"/>
          <w:color w:val="000000"/>
          <w:sz w:val="24"/>
          <w:szCs w:val="24"/>
          <w:u w:color="000000"/>
          <w:bdr w:val="nil"/>
        </w:rPr>
        <w:t xml:space="preserve"> </w:t>
      </w:r>
      <w:commentRangeStart w:id="258"/>
      <w:r w:rsidRPr="00CB4950">
        <w:rPr>
          <w:rFonts w:ascii="Calibri" w:eastAsia="Palatino Linotype" w:hAnsi="Calibri" w:cs="Calibri"/>
          <w:color w:val="000000"/>
          <w:sz w:val="24"/>
          <w:szCs w:val="24"/>
          <w:u w:color="000000"/>
          <w:bdr w:val="nil"/>
        </w:rPr>
        <w:t>It assumes a modest growth rate to intake (less than 2% per year).</w:t>
      </w:r>
      <w:commentRangeEnd w:id="258"/>
      <w:r w:rsidRPr="00CB4950">
        <w:rPr>
          <w:rFonts w:ascii="Calibri" w:eastAsia="Calibri" w:hAnsi="Calibri" w:cs="Calibri"/>
          <w:vanish/>
          <w:color w:val="000000"/>
          <w:sz w:val="24"/>
          <w:szCs w:val="24"/>
          <w:u w:color="000000"/>
          <w:bdr w:val="nil"/>
        </w:rPr>
        <w:commentReference w:id="258"/>
      </w:r>
    </w:p>
    <w:p w14:paraId="4402BCB0" w14:textId="57671AD1"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380D846E" w14:textId="581C51D6"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b/>
          <w:color w:val="000000"/>
          <w:sz w:val="24"/>
          <w:szCs w:val="24"/>
          <w:u w:color="000000"/>
          <w:bdr w:val="nil"/>
        </w:rPr>
        <w:t>6</w:t>
      </w:r>
      <w:r w:rsidRPr="00CB4950">
        <w:rPr>
          <w:rFonts w:ascii="Calibri" w:eastAsia="Calibri" w:hAnsi="Calibri" w:cs="Calibri"/>
          <w:color w:val="000000"/>
          <w:sz w:val="24"/>
          <w:szCs w:val="24"/>
          <w:u w:color="000000"/>
          <w:bdr w:val="nil"/>
        </w:rPr>
        <w:t xml:space="preserve">. Disaster debris: “What if there are more disasters like the 2020 </w:t>
      </w:r>
      <w:r w:rsidRPr="00DA15AE">
        <w:rPr>
          <w:rFonts w:ascii="Calibri" w:eastAsia="Calibri" w:hAnsi="Calibri" w:cs="Calibri"/>
          <w:bCs/>
          <w:color w:val="000000"/>
          <w:sz w:val="24"/>
          <w:szCs w:val="24"/>
          <w:u w:color="000000"/>
          <w:bdr w:val="nil"/>
        </w:rPr>
        <w:t>wildfires</w:t>
      </w:r>
      <w:r w:rsidRPr="00CB4950">
        <w:rPr>
          <w:rFonts w:ascii="Calibri" w:eastAsia="Calibri" w:hAnsi="Calibri" w:cs="Calibri"/>
          <w:b/>
          <w:color w:val="000000"/>
          <w:sz w:val="24"/>
          <w:szCs w:val="24"/>
          <w:u w:color="000000"/>
          <w:bdr w:val="nil"/>
        </w:rPr>
        <w:t>,</w:t>
      </w:r>
      <w:r w:rsidRPr="00CB4950">
        <w:rPr>
          <w:rFonts w:ascii="Calibri" w:eastAsia="Calibri" w:hAnsi="Calibri" w:cs="Calibri"/>
          <w:color w:val="000000"/>
          <w:sz w:val="24"/>
          <w:szCs w:val="24"/>
          <w:u w:color="000000"/>
          <w:bdr w:val="nil"/>
        </w:rPr>
        <w:t xml:space="preserve"> that generate debris for the landfill?” </w:t>
      </w:r>
    </w:p>
    <w:p w14:paraId="799E374A" w14:textId="52A40B05" w:rsidR="006F646F" w:rsidRPr="00CB4950" w:rsidRDefault="007B2995" w:rsidP="006F646F">
      <w:pPr>
        <w:pBdr>
          <w:top w:val="nil"/>
          <w:left w:val="nil"/>
          <w:bottom w:val="nil"/>
          <w:right w:val="nil"/>
          <w:between w:val="nil"/>
          <w:bar w:val="nil"/>
        </w:pBdr>
        <w:spacing w:line="256" w:lineRule="auto"/>
        <w:rPr>
          <w:rFonts w:ascii="Calibri" w:eastAsia="Palatino Linotype" w:hAnsi="Calibri" w:cs="Calibri"/>
          <w:b/>
          <w:color w:val="000000"/>
          <w:sz w:val="24"/>
          <w:szCs w:val="24"/>
          <w:u w:color="000000"/>
          <w:bdr w:val="nil"/>
        </w:rPr>
      </w:pPr>
      <w:r>
        <w:rPr>
          <w:noProof/>
        </w:rPr>
        <w:drawing>
          <wp:inline distT="0" distB="0" distL="0" distR="0" wp14:anchorId="7A47A9F6" wp14:editId="1DCE381E">
            <wp:extent cx="5943600" cy="3585845"/>
            <wp:effectExtent l="0" t="0" r="0" b="0"/>
            <wp:docPr id="2" name="Picture 2"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 histogram&#10;&#10;Description automatically generated"/>
                    <pic:cNvPicPr/>
                  </pic:nvPicPr>
                  <pic:blipFill>
                    <a:blip r:embed="rId52"/>
                    <a:stretch>
                      <a:fillRect/>
                    </a:stretch>
                  </pic:blipFill>
                  <pic:spPr>
                    <a:xfrm>
                      <a:off x="0" y="0"/>
                      <a:ext cx="5943600" cy="3585845"/>
                    </a:xfrm>
                    <a:prstGeom prst="rect">
                      <a:avLst/>
                    </a:prstGeom>
                  </pic:spPr>
                </pic:pic>
              </a:graphicData>
            </a:graphic>
          </wp:inline>
        </w:drawing>
      </w:r>
    </w:p>
    <w:p w14:paraId="45BC0F17" w14:textId="78A9177A"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Fires, floods, earthquakes, spills, and other major disasters can suddenly generate large amounts of debris to be landfilled. These events also occur more frequently at minor levels. </w:t>
      </w:r>
      <w:r w:rsidRPr="00CB4950">
        <w:rPr>
          <w:rFonts w:ascii="Calibri" w:eastAsia="Calibri" w:hAnsi="Calibri" w:cs="Calibri"/>
          <w:color w:val="000000"/>
          <w:sz w:val="24"/>
          <w:szCs w:val="24"/>
          <w:u w:color="000000"/>
          <w:bdr w:val="nil"/>
        </w:rPr>
        <w:t>These inflows can reduce the landfill’s life, as d</w:t>
      </w:r>
      <w:r w:rsidRPr="00CB4950">
        <w:rPr>
          <w:rFonts w:ascii="Calibri" w:eastAsia="Palatino Linotype" w:hAnsi="Calibri" w:cs="Calibri"/>
          <w:color w:val="000000"/>
          <w:sz w:val="24"/>
          <w:szCs w:val="24"/>
          <w:u w:color="000000"/>
          <w:bdr w:val="nil"/>
          <w:lang w:val="it-IT"/>
        </w:rPr>
        <w:t xml:space="preserve">isaster debris </w:t>
      </w:r>
      <w:r w:rsidRPr="00CB4950">
        <w:rPr>
          <w:rFonts w:ascii="Calibri" w:eastAsia="Calibri" w:hAnsi="Calibri" w:cs="Calibri"/>
          <w:color w:val="000000"/>
          <w:sz w:val="24"/>
          <w:szCs w:val="24"/>
          <w:u w:color="000000"/>
          <w:bdr w:val="nil"/>
        </w:rPr>
        <w:t xml:space="preserve">takes up airspace in the Landfill and </w:t>
      </w:r>
      <w:r w:rsidRPr="00CB4950">
        <w:rPr>
          <w:rFonts w:ascii="Calibri" w:eastAsia="Palatino Linotype" w:hAnsi="Calibri" w:cs="Calibri"/>
          <w:color w:val="000000"/>
          <w:sz w:val="24"/>
          <w:szCs w:val="24"/>
          <w:u w:color="000000"/>
          <w:bdr w:val="nil"/>
        </w:rPr>
        <w:t>is not limited by the Landfill’</w:t>
      </w:r>
      <w:r w:rsidRPr="00CB4950">
        <w:rPr>
          <w:rFonts w:ascii="Calibri" w:eastAsia="Palatino Linotype" w:hAnsi="Calibri" w:cs="Calibri"/>
          <w:color w:val="000000"/>
          <w:sz w:val="24"/>
          <w:szCs w:val="24"/>
          <w:u w:color="000000"/>
          <w:bdr w:val="nil"/>
          <w:lang w:val="fr-FR"/>
        </w:rPr>
        <w:t xml:space="preserve">s 1.1 million </w:t>
      </w:r>
      <w:proofErr w:type="spellStart"/>
      <w:r w:rsidRPr="00CB4950">
        <w:rPr>
          <w:rFonts w:ascii="Calibri" w:eastAsia="Palatino Linotype" w:hAnsi="Calibri" w:cs="Calibri"/>
          <w:color w:val="000000"/>
          <w:sz w:val="24"/>
          <w:szCs w:val="24"/>
          <w:u w:color="000000"/>
          <w:bdr w:val="nil"/>
          <w:lang w:val="fr-FR"/>
        </w:rPr>
        <w:t>annual</w:t>
      </w:r>
      <w:proofErr w:type="spellEnd"/>
      <w:r w:rsidRPr="00CB4950">
        <w:rPr>
          <w:rFonts w:ascii="Calibri" w:eastAsia="Palatino Linotype" w:hAnsi="Calibri" w:cs="Calibri"/>
          <w:color w:val="000000"/>
          <w:sz w:val="24"/>
          <w:szCs w:val="24"/>
          <w:u w:color="000000"/>
          <w:bdr w:val="nil"/>
          <w:lang w:val="fr-FR"/>
        </w:rPr>
        <w:t xml:space="preserve"> tonnage cap. </w:t>
      </w:r>
    </w:p>
    <w:p w14:paraId="5A9BACE9" w14:textId="6E01D43F"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visualization above assumes that two more major disasters occur in the region before close of Landfill, or roughly once every seven years; </w:t>
      </w:r>
      <w:proofErr w:type="gramStart"/>
      <w:r w:rsidRPr="00CB4950">
        <w:rPr>
          <w:rFonts w:ascii="Calibri" w:eastAsia="Palatino Linotype" w:hAnsi="Calibri" w:cs="Calibri"/>
          <w:color w:val="000000"/>
          <w:sz w:val="24"/>
          <w:szCs w:val="24"/>
          <w:u w:color="000000"/>
          <w:bdr w:val="nil"/>
        </w:rPr>
        <w:t>plus</w:t>
      </w:r>
      <w:proofErr w:type="gramEnd"/>
      <w:r w:rsidRPr="00CB4950">
        <w:rPr>
          <w:rFonts w:ascii="Calibri" w:eastAsia="Palatino Linotype" w:hAnsi="Calibri" w:cs="Calibri"/>
          <w:color w:val="000000"/>
          <w:sz w:val="24"/>
          <w:szCs w:val="24"/>
          <w:u w:color="000000"/>
          <w:bdr w:val="nil"/>
        </w:rPr>
        <w:t xml:space="preserve"> three minor disasters occur in the same time period, roughly every four years. The two major events each generate about 300,000 tons of debris (roughly the amount of material generated by the area wildfires of 2020</w:t>
      </w:r>
      <w:proofErr w:type="gramStart"/>
      <w:r w:rsidRPr="00CB4950">
        <w:rPr>
          <w:rFonts w:ascii="Calibri" w:eastAsia="Palatino Linotype" w:hAnsi="Calibri" w:cs="Calibri"/>
          <w:color w:val="000000"/>
          <w:sz w:val="24"/>
          <w:szCs w:val="24"/>
          <w:u w:color="000000"/>
          <w:bdr w:val="nil"/>
        </w:rPr>
        <w:t>)</w:t>
      </w:r>
      <w:proofErr w:type="gramEnd"/>
      <w:r w:rsidRPr="00CB4950">
        <w:rPr>
          <w:rFonts w:ascii="Calibri" w:eastAsia="Palatino Linotype" w:hAnsi="Calibri" w:cs="Calibri"/>
          <w:color w:val="000000"/>
          <w:sz w:val="24"/>
          <w:szCs w:val="24"/>
          <w:u w:color="000000"/>
          <w:bdr w:val="nil"/>
        </w:rPr>
        <w:t xml:space="preserve"> and the three smaller disasters generate 75,000 tons each. These inflows happen in addition to the normal </w:t>
      </w:r>
      <w:proofErr w:type="spellStart"/>
      <w:r w:rsidRPr="00CB4950">
        <w:rPr>
          <w:rFonts w:ascii="Calibri" w:eastAsia="Palatino Linotype" w:hAnsi="Calibri" w:cs="Calibri"/>
          <w:color w:val="000000"/>
          <w:sz w:val="24"/>
          <w:szCs w:val="24"/>
          <w:u w:color="000000"/>
          <w:bdr w:val="nil"/>
        </w:rPr>
        <w:t>wastestream</w:t>
      </w:r>
      <w:proofErr w:type="spellEnd"/>
      <w:r w:rsidRPr="00CB4950">
        <w:rPr>
          <w:rFonts w:ascii="Calibri" w:eastAsia="Palatino Linotype" w:hAnsi="Calibri" w:cs="Calibri"/>
          <w:color w:val="000000"/>
          <w:sz w:val="24"/>
          <w:szCs w:val="24"/>
          <w:u w:color="000000"/>
          <w:bdr w:val="nil"/>
        </w:rPr>
        <w:t>, which as per the baseline is assumed to be 1.1 million tons per year.</w:t>
      </w:r>
    </w:p>
    <w:p w14:paraId="21455265"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7B76A7CE"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1210961B"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Calibri" w:hAnsi="Calibri" w:cs="Calibri"/>
          <w:color w:val="000000"/>
          <w:sz w:val="24"/>
          <w:szCs w:val="24"/>
          <w:u w:color="000000"/>
          <w:bdr w:val="nil"/>
        </w:rPr>
        <w:t xml:space="preserve">Conclusion: A Confluence of </w:t>
      </w:r>
      <w:proofErr w:type="gramStart"/>
      <w:r w:rsidRPr="00CB4950">
        <w:rPr>
          <w:rFonts w:ascii="Calibri" w:eastAsia="Calibri" w:hAnsi="Calibri" w:cs="Calibri"/>
          <w:color w:val="000000"/>
          <w:sz w:val="24"/>
          <w:szCs w:val="24"/>
          <w:u w:color="000000"/>
          <w:bdr w:val="nil"/>
        </w:rPr>
        <w:t>Factors  –</w:t>
      </w:r>
      <w:proofErr w:type="gramEnd"/>
      <w:r w:rsidRPr="00CB4950">
        <w:rPr>
          <w:rFonts w:ascii="Calibri" w:eastAsia="Calibri" w:hAnsi="Calibri" w:cs="Calibri"/>
          <w:color w:val="000000"/>
          <w:sz w:val="24"/>
          <w:szCs w:val="24"/>
          <w:u w:color="000000"/>
          <w:bdr w:val="nil"/>
        </w:rPr>
        <w:t xml:space="preserve"> Findings and Recommendations</w:t>
      </w:r>
    </w:p>
    <w:p w14:paraId="215B3E7C"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subcommittee has generated a Table calling attention to, and posing questions about, potential factors impacting site life; this list is not </w:t>
      </w:r>
      <w:proofErr w:type="gramStart"/>
      <w:r w:rsidRPr="00CB4950">
        <w:rPr>
          <w:rFonts w:ascii="Calibri" w:eastAsia="Palatino Linotype" w:hAnsi="Calibri" w:cs="Calibri"/>
          <w:color w:val="000000"/>
          <w:sz w:val="24"/>
          <w:szCs w:val="24"/>
          <w:u w:color="000000"/>
          <w:bdr w:val="nil"/>
        </w:rPr>
        <w:t>exhaustive</w:t>
      </w:r>
      <w:proofErr w:type="gramEnd"/>
      <w:r w:rsidRPr="00CB4950">
        <w:rPr>
          <w:rFonts w:ascii="Calibri" w:eastAsia="Palatino Linotype" w:hAnsi="Calibri" w:cs="Calibri"/>
          <w:color w:val="000000"/>
          <w:sz w:val="24"/>
          <w:szCs w:val="24"/>
          <w:u w:color="000000"/>
          <w:bdr w:val="nil"/>
        </w:rPr>
        <w:t xml:space="preserve"> and its characterizations are limited. We hope a more complete list and more detailed characterizations will come as Benton County prepares a Sustainable Materials Management Plan. </w:t>
      </w:r>
    </w:p>
    <w:p w14:paraId="4478E91F"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These factors are all relevant to understanding the possible longevity of Coffin Butte Landfill. Each factor has its own likelihood of being significant to landfill longevity and its own effect over time, and each </w:t>
      </w:r>
      <w:proofErr w:type="gramStart"/>
      <w:r w:rsidRPr="00CB4950">
        <w:rPr>
          <w:rFonts w:ascii="Calibri" w:eastAsia="Palatino Linotype" w:hAnsi="Calibri" w:cs="Calibri"/>
          <w:color w:val="000000"/>
          <w:sz w:val="24"/>
          <w:szCs w:val="24"/>
          <w:u w:color="000000"/>
          <w:bdr w:val="nil"/>
        </w:rPr>
        <w:t>joins</w:t>
      </w:r>
      <w:proofErr w:type="gramEnd"/>
      <w:r w:rsidRPr="00CB4950">
        <w:rPr>
          <w:rFonts w:ascii="Calibri" w:eastAsia="Palatino Linotype" w:hAnsi="Calibri" w:cs="Calibri"/>
          <w:color w:val="000000"/>
          <w:sz w:val="24"/>
          <w:szCs w:val="24"/>
          <w:u w:color="000000"/>
          <w:bdr w:val="nil"/>
        </w:rPr>
        <w:t xml:space="preserve"> with other factors to determine the actual longevity. These factors have been included to enable the reader to form a conception of the likely </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possibility space</w:t>
      </w:r>
      <w:r w:rsidRPr="00CB4950">
        <w:rPr>
          <w:rFonts w:ascii="Calibri" w:eastAsia="Calibri"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rPr>
        <w:t>for the landfill</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 xml:space="preserve">s operation from current day to its End </w:t>
      </w:r>
      <w:proofErr w:type="gramStart"/>
      <w:r w:rsidRPr="00CB4950">
        <w:rPr>
          <w:rFonts w:ascii="Calibri" w:eastAsia="Palatino Linotype" w:hAnsi="Calibri" w:cs="Calibri"/>
          <w:color w:val="000000"/>
          <w:sz w:val="24"/>
          <w:szCs w:val="24"/>
          <w:u w:color="000000"/>
          <w:bdr w:val="nil"/>
        </w:rPr>
        <w:t>Of</w:t>
      </w:r>
      <w:proofErr w:type="gramEnd"/>
      <w:r w:rsidRPr="00CB4950">
        <w:rPr>
          <w:rFonts w:ascii="Calibri" w:eastAsia="Palatino Linotype" w:hAnsi="Calibri" w:cs="Calibri"/>
          <w:color w:val="000000"/>
          <w:sz w:val="24"/>
          <w:szCs w:val="24"/>
          <w:u w:color="000000"/>
          <w:bdr w:val="nil"/>
        </w:rPr>
        <w:t xml:space="preserve"> Life. </w:t>
      </w:r>
    </w:p>
    <w:p w14:paraId="6D942E70" w14:textId="0217CEF2"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possibility space shows landfill closure as </w:t>
      </w:r>
      <w:commentRangeStart w:id="259"/>
      <w:r w:rsidRPr="00CB4950">
        <w:rPr>
          <w:rFonts w:ascii="Calibri" w:eastAsia="Palatino Linotype" w:hAnsi="Calibri" w:cs="Calibri"/>
          <w:color w:val="000000"/>
          <w:sz w:val="24"/>
          <w:szCs w:val="24"/>
          <w:highlight w:val="yellow"/>
          <w:u w:color="000000"/>
          <w:bdr w:val="nil"/>
        </w:rPr>
        <w:t>early as 2034 and as late as 2045.</w:t>
      </w:r>
      <w:r w:rsidRPr="00CB4950">
        <w:rPr>
          <w:rFonts w:ascii="Calibri" w:eastAsia="Palatino Linotype" w:hAnsi="Calibri" w:cs="Calibri"/>
          <w:color w:val="000000"/>
          <w:sz w:val="24"/>
          <w:szCs w:val="24"/>
          <w:highlight w:val="yellow"/>
          <w:u w:color="000000"/>
          <w:bdr w:val="nil"/>
          <w:vertAlign w:val="superscript"/>
        </w:rPr>
        <w:footnoteReference w:id="4"/>
      </w:r>
      <w:r w:rsidRPr="00CB4950">
        <w:rPr>
          <w:rFonts w:ascii="Calibri" w:eastAsia="Palatino Linotype" w:hAnsi="Calibri" w:cs="Calibri"/>
          <w:color w:val="000000"/>
          <w:sz w:val="24"/>
          <w:szCs w:val="24"/>
          <w:u w:color="000000"/>
          <w:bdr w:val="nil"/>
        </w:rPr>
        <w:t xml:space="preserve"> </w:t>
      </w:r>
      <w:commentRangeEnd w:id="259"/>
      <w:r w:rsidRPr="00CB4950">
        <w:rPr>
          <w:rFonts w:ascii="Calibri" w:eastAsia="Calibri" w:hAnsi="Calibri" w:cs="Calibri"/>
          <w:sz w:val="24"/>
          <w:szCs w:val="24"/>
          <w:u w:color="000000"/>
        </w:rPr>
        <w:commentReference w:id="259"/>
      </w:r>
      <w:r w:rsidRPr="00CB4950">
        <w:rPr>
          <w:rFonts w:ascii="Calibri" w:eastAsia="Palatino Linotype" w:hAnsi="Calibri" w:cs="Calibri"/>
          <w:color w:val="000000"/>
          <w:sz w:val="24"/>
          <w:szCs w:val="24"/>
          <w:u w:color="000000"/>
          <w:bdr w:val="nil"/>
        </w:rPr>
        <w:t>Within that range, the landfill</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s 2021 Site Development Plan estimates the closure year to be 2039 and the EPA shows a closure year of 2044. The franchisee</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s baseline projects a closure range of 2037-2039. The franchisee</w:t>
      </w:r>
      <w:r>
        <w:rPr>
          <w:rFonts w:ascii="Calibri" w:eastAsia="Palatino Linotype" w:hAnsi="Calibri" w:cs="Calibri"/>
          <w:color w:val="000000"/>
          <w:sz w:val="24"/>
          <w:szCs w:val="24"/>
          <w:u w:color="000000"/>
          <w:bdr w:val="nil"/>
        </w:rPr>
        <w:t xml:space="preserve"> anticipates</w:t>
      </w:r>
      <w:r w:rsidRPr="00CB4950">
        <w:rPr>
          <w:rFonts w:ascii="Calibri" w:eastAsia="Palatino Linotype" w:hAnsi="Calibri" w:cs="Calibri"/>
          <w:color w:val="000000"/>
          <w:sz w:val="24"/>
          <w:szCs w:val="24"/>
          <w:u w:color="000000"/>
          <w:bdr w:val="nil"/>
        </w:rPr>
        <w:t xml:space="preserve"> </w:t>
      </w:r>
      <w:r w:rsidRPr="00554B30">
        <w:rPr>
          <w:rFonts w:ascii="Calibri" w:eastAsia="Palatino Linotype" w:hAnsi="Calibri" w:cs="Calibri"/>
          <w:color w:val="000000"/>
          <w:sz w:val="24"/>
          <w:szCs w:val="24"/>
          <w:u w:color="000000"/>
          <w:bdr w:val="nil"/>
        </w:rPr>
        <w:t>intake rates staying stable (close to their current level)</w:t>
      </w:r>
      <w:r w:rsidRPr="00CB4950">
        <w:rPr>
          <w:rFonts w:ascii="Calibri" w:eastAsia="Palatino Linotype" w:hAnsi="Calibri" w:cs="Calibri"/>
          <w:color w:val="000000"/>
          <w:sz w:val="24"/>
          <w:szCs w:val="24"/>
          <w:u w:color="000000"/>
          <w:bdr w:val="nil"/>
        </w:rPr>
        <w:t>, as shown in their baseline projection. Intake-increasing factors such as population growth and debris from disasters may drive up intake rates and thus shorten landfill life within the range; intake reduction factors such as recycling and waste diversion, plus emerging factors such as extended producer responsibility (EPR) incentives and climate crisis legislation, may drive down intake rates and thus lengthen landfill life in the range and beyond.</w:t>
      </w:r>
    </w:p>
    <w:p w14:paraId="68C67945" w14:textId="77777777" w:rsidR="006F646F" w:rsidRPr="00CB4950" w:rsidRDefault="006F646F" w:rsidP="006F646F">
      <w:pPr>
        <w:ind w:left="360"/>
        <w:rPr>
          <w:rFonts w:ascii="Calibri" w:eastAsia="Calibri" w:hAnsi="Calibri" w:cs="Calibri"/>
          <w:color w:val="FF0000"/>
          <w:sz w:val="24"/>
          <w:szCs w:val="24"/>
        </w:rPr>
      </w:pPr>
      <w:r w:rsidRPr="00CB4950">
        <w:rPr>
          <w:rFonts w:ascii="Calibri" w:eastAsia="Arial Unicode MS" w:hAnsi="Calibri" w:cs="Calibri"/>
          <w:sz w:val="24"/>
          <w:szCs w:val="24"/>
        </w:rPr>
        <w:br w:type="page"/>
      </w:r>
    </w:p>
    <w:p w14:paraId="21272C34" w14:textId="77777777" w:rsidR="006F646F" w:rsidRPr="00CB4950" w:rsidRDefault="006F646F" w:rsidP="006F646F">
      <w:pPr>
        <w:ind w:left="360"/>
        <w:rPr>
          <w:rFonts w:ascii="Calibri" w:eastAsia="Calibri" w:hAnsi="Calibri" w:cs="Calibri"/>
          <w:color w:val="FF0000"/>
          <w:sz w:val="24"/>
          <w:szCs w:val="24"/>
        </w:rPr>
      </w:pPr>
    </w:p>
    <w:p w14:paraId="76D77C16" w14:textId="77777777" w:rsidR="006F646F" w:rsidRPr="00CB4950" w:rsidRDefault="006F646F" w:rsidP="006F646F">
      <w:pPr>
        <w:rPr>
          <w:rFonts w:ascii="Calibri" w:eastAsia="Calibri" w:hAnsi="Calibri" w:cs="Calibri"/>
          <w:b/>
          <w:sz w:val="24"/>
          <w:szCs w:val="24"/>
        </w:rPr>
        <w:sectPr w:rsidR="006F646F" w:rsidRPr="00CB4950" w:rsidSect="008B5B8D">
          <w:type w:val="nextColumn"/>
          <w:pgSz w:w="12240" w:h="15840"/>
          <w:pgMar w:top="1008" w:right="1440" w:bottom="1008" w:left="1440" w:header="432" w:footer="432" w:gutter="0"/>
          <w:cols w:space="720"/>
          <w:docGrid w:linePitch="360"/>
        </w:sectPr>
      </w:pPr>
    </w:p>
    <w:p w14:paraId="43C056D9" w14:textId="77777777" w:rsidR="006F646F" w:rsidRPr="00CB4950" w:rsidRDefault="006F646F" w:rsidP="006F646F">
      <w:pPr>
        <w:keepNext/>
        <w:keepLines/>
        <w:spacing w:after="240" w:line="240" w:lineRule="auto"/>
        <w:outlineLvl w:val="1"/>
        <w:rPr>
          <w:rFonts w:ascii="Calibri" w:eastAsia="Times New Roman" w:hAnsi="Calibri" w:cs="Calibri"/>
          <w:color w:val="2E74B5"/>
          <w:sz w:val="24"/>
          <w:szCs w:val="24"/>
        </w:rPr>
      </w:pPr>
      <w:bookmarkStart w:id="260" w:name="_Appendix_A_"/>
      <w:bookmarkStart w:id="261" w:name="_Toc128666901"/>
      <w:bookmarkStart w:id="262" w:name="_Toc128669091"/>
      <w:bookmarkEnd w:id="260"/>
      <w:commentRangeStart w:id="263"/>
      <w:commentRangeStart w:id="264"/>
      <w:r w:rsidRPr="00CB4950">
        <w:rPr>
          <w:rFonts w:ascii="Calibri" w:eastAsia="Times New Roman" w:hAnsi="Calibri" w:cs="Calibri"/>
          <w:color w:val="2E74B5"/>
          <w:sz w:val="24"/>
          <w:szCs w:val="24"/>
        </w:rPr>
        <w:t>Appendix A</w:t>
      </w:r>
      <w:commentRangeEnd w:id="263"/>
      <w:r w:rsidRPr="00CB4950">
        <w:rPr>
          <w:rFonts w:ascii="Calibri" w:eastAsia="Times New Roman" w:hAnsi="Calibri" w:cs="Calibri"/>
          <w:color w:val="2E74B5"/>
          <w:sz w:val="24"/>
          <w:szCs w:val="24"/>
        </w:rPr>
        <w:commentReference w:id="263"/>
      </w:r>
      <w:commentRangeEnd w:id="264"/>
      <w:r w:rsidRPr="00CB4950">
        <w:rPr>
          <w:rFonts w:ascii="Calibri" w:eastAsia="Times New Roman" w:hAnsi="Calibri" w:cs="Calibri"/>
          <w:color w:val="2E74B5"/>
          <w:sz w:val="24"/>
          <w:szCs w:val="24"/>
        </w:rPr>
        <w:commentReference w:id="264"/>
      </w:r>
      <w:r w:rsidRPr="00CB4950">
        <w:rPr>
          <w:rFonts w:ascii="Calibri" w:eastAsia="Times New Roman" w:hAnsi="Calibri" w:cs="Calibri"/>
          <w:color w:val="2E74B5"/>
          <w:sz w:val="24"/>
          <w:szCs w:val="24"/>
        </w:rPr>
        <w:t xml:space="preserve">: </w:t>
      </w:r>
      <w:commentRangeStart w:id="265"/>
      <w:commentRangeStart w:id="266"/>
      <w:r w:rsidRPr="00CB4950">
        <w:rPr>
          <w:rFonts w:ascii="Calibri" w:eastAsia="Times New Roman" w:hAnsi="Calibri" w:cs="Calibri"/>
          <w:color w:val="2E74B5"/>
          <w:sz w:val="24"/>
          <w:szCs w:val="24"/>
        </w:rPr>
        <w:t>Intake</w:t>
      </w:r>
      <w:commentRangeEnd w:id="265"/>
      <w:r w:rsidRPr="00CB4950">
        <w:rPr>
          <w:rFonts w:ascii="Calibri" w:eastAsia="Calibri" w:hAnsi="Calibri" w:cs="Calibri"/>
          <w:color w:val="2E74B5"/>
          <w:sz w:val="24"/>
          <w:szCs w:val="24"/>
        </w:rPr>
        <w:commentReference w:id="265"/>
      </w:r>
      <w:commentRangeEnd w:id="266"/>
      <w:r w:rsidRPr="00CB4950">
        <w:rPr>
          <w:rFonts w:ascii="Calibri" w:eastAsia="Times New Roman" w:hAnsi="Calibri" w:cs="Calibri"/>
          <w:color w:val="2E74B5"/>
          <w:sz w:val="24"/>
          <w:szCs w:val="24"/>
        </w:rPr>
        <w:commentReference w:id="266"/>
      </w:r>
      <w:r w:rsidRPr="00CB4950">
        <w:rPr>
          <w:rFonts w:ascii="Calibri" w:eastAsia="Times New Roman" w:hAnsi="Calibri" w:cs="Calibri"/>
          <w:color w:val="2E74B5"/>
          <w:sz w:val="24"/>
          <w:szCs w:val="24"/>
        </w:rPr>
        <w:t xml:space="preserve"> </w:t>
      </w:r>
      <w:commentRangeStart w:id="267"/>
      <w:r w:rsidRPr="00CB4950">
        <w:rPr>
          <w:rFonts w:ascii="Calibri" w:eastAsia="Times New Roman" w:hAnsi="Calibri" w:cs="Calibri"/>
          <w:color w:val="2E74B5"/>
          <w:sz w:val="24"/>
          <w:szCs w:val="24"/>
        </w:rPr>
        <w:t>Tonnage</w:t>
      </w:r>
      <w:commentRangeEnd w:id="267"/>
      <w:r w:rsidRPr="00CB4950">
        <w:rPr>
          <w:rFonts w:ascii="Calibri" w:eastAsia="Times New Roman" w:hAnsi="Calibri" w:cs="Calibri"/>
          <w:color w:val="2E74B5"/>
          <w:sz w:val="24"/>
          <w:szCs w:val="24"/>
        </w:rPr>
        <w:commentReference w:id="267"/>
      </w:r>
      <w:r w:rsidRPr="00CB4950">
        <w:rPr>
          <w:rFonts w:ascii="Calibri" w:eastAsia="Times New Roman" w:hAnsi="Calibri" w:cs="Calibri"/>
          <w:color w:val="2E74B5"/>
          <w:sz w:val="24"/>
          <w:szCs w:val="24"/>
        </w:rPr>
        <w:t xml:space="preserve"> and Capacity Data</w:t>
      </w:r>
      <w:bookmarkEnd w:id="261"/>
      <w:bookmarkEnd w:id="262"/>
    </w:p>
    <w:p w14:paraId="44D08A3D"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Coffin Butte annual intake volume, derived from 1993-2021 Coffin Butte Annual Report (CBAR) documents.  CY 2000 is highlighted to indicate this value was derived from the 2001 report because the 2000 report document is unavailable. Blue highlights below are assumptions and estimates, not actually recorded data.</w:t>
      </w:r>
    </w:p>
    <w:p w14:paraId="0F5423F9" w14:textId="77777777" w:rsidR="006F646F" w:rsidRPr="00CB4950" w:rsidRDefault="006F646F" w:rsidP="006F646F">
      <w:pPr>
        <w:jc w:val="center"/>
        <w:rPr>
          <w:rFonts w:ascii="Calibri" w:eastAsia="Calibri" w:hAnsi="Calibri" w:cs="Calibri"/>
          <w:sz w:val="24"/>
          <w:szCs w:val="24"/>
        </w:rPr>
      </w:pPr>
    </w:p>
    <w:tbl>
      <w:tblPr>
        <w:tblW w:w="10784" w:type="dxa"/>
        <w:tblCellMar>
          <w:left w:w="0" w:type="dxa"/>
          <w:right w:w="0" w:type="dxa"/>
        </w:tblCellMar>
        <w:tblLook w:val="04A0" w:firstRow="1" w:lastRow="0" w:firstColumn="1" w:lastColumn="0" w:noHBand="0" w:noVBand="1"/>
      </w:tblPr>
      <w:tblGrid>
        <w:gridCol w:w="523"/>
        <w:gridCol w:w="2338"/>
        <w:gridCol w:w="1814"/>
        <w:gridCol w:w="1768"/>
        <w:gridCol w:w="804"/>
        <w:gridCol w:w="1650"/>
        <w:gridCol w:w="1887"/>
      </w:tblGrid>
      <w:tr w:rsidR="006F646F" w:rsidRPr="00CB4950" w14:paraId="382E77B6" w14:textId="77777777" w:rsidTr="00CD02A5">
        <w:trPr>
          <w:trHeight w:val="1200"/>
          <w:tblHead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29F4CAD2" w14:textId="77777777" w:rsidR="006F646F" w:rsidRPr="00CB4950" w:rsidRDefault="006F646F" w:rsidP="00CD02A5">
            <w:pPr>
              <w:jc w:val="center"/>
              <w:rPr>
                <w:rFonts w:ascii="Calibri" w:eastAsia="Calibri" w:hAnsi="Calibri" w:cs="Calibri"/>
                <w:b/>
                <w:color w:val="000000"/>
                <w:sz w:val="24"/>
                <w:szCs w:val="24"/>
              </w:rPr>
            </w:pPr>
            <w:r w:rsidRPr="00CB4950">
              <w:rPr>
                <w:rFonts w:ascii="Calibri" w:eastAsia="Calibri" w:hAnsi="Calibri" w:cs="Calibri"/>
                <w:b/>
                <w:color w:val="000000"/>
                <w:sz w:val="24"/>
                <w:szCs w:val="24"/>
              </w:rPr>
              <w:t>Year</w:t>
            </w:r>
          </w:p>
        </w:tc>
        <w:tc>
          <w:tcPr>
            <w:tcW w:w="2338" w:type="dxa"/>
            <w:tcBorders>
              <w:top w:val="single" w:sz="4" w:space="0" w:color="auto"/>
              <w:left w:val="single" w:sz="4" w:space="0" w:color="auto"/>
              <w:bottom w:val="single" w:sz="4" w:space="0" w:color="auto"/>
              <w:right w:val="single" w:sz="4" w:space="0" w:color="auto"/>
            </w:tcBorders>
            <w:vAlign w:val="center"/>
            <w:hideMark/>
          </w:tcPr>
          <w:p w14:paraId="2F159915" w14:textId="77777777" w:rsidR="006F646F" w:rsidRPr="00CB4950" w:rsidRDefault="006F646F" w:rsidP="00CD02A5">
            <w:pPr>
              <w:jc w:val="center"/>
              <w:rPr>
                <w:rFonts w:ascii="Calibri" w:eastAsia="Calibri" w:hAnsi="Calibri" w:cs="Calibri"/>
                <w:b/>
                <w:color w:val="000000"/>
                <w:sz w:val="24"/>
                <w:szCs w:val="24"/>
              </w:rPr>
            </w:pPr>
            <w:r w:rsidRPr="00CB4950">
              <w:rPr>
                <w:rFonts w:ascii="Calibri" w:eastAsia="Calibri" w:hAnsi="Calibri" w:cs="Calibri"/>
                <w:b/>
                <w:color w:val="000000"/>
                <w:sz w:val="24"/>
                <w:szCs w:val="24"/>
              </w:rPr>
              <w:t>CBAR</w:t>
            </w:r>
            <w:r w:rsidRPr="00CB4950">
              <w:rPr>
                <w:rFonts w:ascii="Calibri" w:eastAsia="Calibri" w:hAnsi="Calibri" w:cs="Calibri"/>
                <w:b/>
                <w:color w:val="000000"/>
                <w:sz w:val="24"/>
                <w:szCs w:val="24"/>
              </w:rPr>
              <w:br/>
              <w:t>Volume</w:t>
            </w:r>
            <w:r w:rsidRPr="00CB4950">
              <w:rPr>
                <w:rFonts w:ascii="Calibri" w:eastAsia="Calibri" w:hAnsi="Calibri" w:cs="Calibri"/>
                <w:b/>
                <w:color w:val="000000"/>
                <w:sz w:val="24"/>
                <w:szCs w:val="24"/>
              </w:rPr>
              <w:br/>
              <w:t>(Tons)</w:t>
            </w:r>
          </w:p>
        </w:tc>
        <w:tc>
          <w:tcPr>
            <w:tcW w:w="1814" w:type="dxa"/>
            <w:tcBorders>
              <w:top w:val="single" w:sz="4" w:space="0" w:color="auto"/>
              <w:left w:val="single" w:sz="4" w:space="0" w:color="auto"/>
              <w:bottom w:val="single" w:sz="4" w:space="0" w:color="auto"/>
              <w:right w:val="single" w:sz="4" w:space="0" w:color="auto"/>
            </w:tcBorders>
            <w:vAlign w:val="center"/>
            <w:hideMark/>
          </w:tcPr>
          <w:p w14:paraId="6A9E7658" w14:textId="77777777" w:rsidR="006F646F" w:rsidRPr="00CB4950" w:rsidRDefault="006F646F" w:rsidP="00CD02A5">
            <w:pPr>
              <w:jc w:val="center"/>
              <w:rPr>
                <w:rFonts w:ascii="Calibri" w:eastAsia="Calibri" w:hAnsi="Calibri" w:cs="Calibri"/>
                <w:b/>
                <w:color w:val="000000"/>
                <w:sz w:val="24"/>
                <w:szCs w:val="24"/>
              </w:rPr>
            </w:pPr>
            <w:r w:rsidRPr="00CB4950">
              <w:rPr>
                <w:rFonts w:ascii="Calibri" w:eastAsia="Calibri" w:hAnsi="Calibri" w:cs="Calibri"/>
                <w:b/>
                <w:color w:val="000000"/>
                <w:sz w:val="24"/>
                <w:szCs w:val="24"/>
              </w:rPr>
              <w:t>2000 FA Threshold</w:t>
            </w:r>
          </w:p>
        </w:tc>
        <w:tc>
          <w:tcPr>
            <w:tcW w:w="1768" w:type="dxa"/>
            <w:tcBorders>
              <w:top w:val="single" w:sz="4" w:space="0" w:color="auto"/>
              <w:left w:val="single" w:sz="4" w:space="0" w:color="auto"/>
              <w:bottom w:val="single" w:sz="4" w:space="0" w:color="auto"/>
              <w:right w:val="single" w:sz="4" w:space="0" w:color="auto"/>
            </w:tcBorders>
          </w:tcPr>
          <w:p w14:paraId="5C2F0541" w14:textId="77777777" w:rsidR="006F646F" w:rsidRPr="00CB4950" w:rsidRDefault="006F646F" w:rsidP="00CD02A5">
            <w:pPr>
              <w:jc w:val="center"/>
              <w:rPr>
                <w:rFonts w:ascii="Calibri" w:eastAsia="Calibri" w:hAnsi="Calibri" w:cs="Calibri"/>
                <w:b/>
                <w:sz w:val="24"/>
                <w:szCs w:val="24"/>
              </w:rPr>
            </w:pPr>
            <w:commentRangeStart w:id="268"/>
            <w:r w:rsidRPr="00CB4950">
              <w:rPr>
                <w:rFonts w:ascii="Calibri" w:eastAsia="Calibri" w:hAnsi="Calibri" w:cs="Calibri"/>
                <w:b/>
                <w:sz w:val="24"/>
                <w:szCs w:val="24"/>
              </w:rPr>
              <w:t>Intake Exceeding 2000 FA Threshold (Tons)</w:t>
            </w:r>
            <w:commentRangeEnd w:id="268"/>
            <w:r w:rsidRPr="00CB4950">
              <w:rPr>
                <w:rFonts w:ascii="Calibri" w:eastAsia="Calibri" w:hAnsi="Calibri" w:cs="Calibri"/>
                <w:sz w:val="24"/>
                <w:szCs w:val="24"/>
              </w:rPr>
              <w:commentReference w:id="268"/>
            </w:r>
          </w:p>
        </w:tc>
        <w:tc>
          <w:tcPr>
            <w:tcW w:w="804" w:type="dxa"/>
            <w:tcBorders>
              <w:top w:val="single" w:sz="4" w:space="0" w:color="auto"/>
              <w:left w:val="single" w:sz="4" w:space="0" w:color="auto"/>
              <w:bottom w:val="single" w:sz="4" w:space="0" w:color="auto"/>
              <w:right w:val="single" w:sz="4" w:space="0" w:color="auto"/>
            </w:tcBorders>
            <w:shd w:val="clear" w:color="auto" w:fill="auto"/>
            <w:vAlign w:val="center"/>
          </w:tcPr>
          <w:p w14:paraId="12E96F0D" w14:textId="77777777" w:rsidR="006F646F" w:rsidRPr="00CB4950" w:rsidRDefault="006F646F" w:rsidP="00CD02A5">
            <w:pPr>
              <w:jc w:val="center"/>
              <w:rPr>
                <w:rFonts w:ascii="Calibri" w:eastAsia="Calibri" w:hAnsi="Calibri" w:cs="Calibri"/>
                <w:b/>
                <w:sz w:val="24"/>
                <w:szCs w:val="24"/>
              </w:rPr>
            </w:pPr>
            <w:r w:rsidRPr="00CB4950">
              <w:rPr>
                <w:rFonts w:ascii="Calibri" w:eastAsia="Calibri" w:hAnsi="Calibri" w:cs="Calibri"/>
                <w:b/>
                <w:sz w:val="24"/>
                <w:szCs w:val="24"/>
              </w:rPr>
              <w:t>CBR Density Ration</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14:paraId="2055F06F" w14:textId="77777777" w:rsidR="006F646F" w:rsidRPr="00CB4950" w:rsidRDefault="006F646F" w:rsidP="00CD02A5">
            <w:pPr>
              <w:jc w:val="center"/>
              <w:rPr>
                <w:rFonts w:ascii="Calibri" w:eastAsia="Calibri" w:hAnsi="Calibri" w:cs="Calibri"/>
                <w:b/>
                <w:sz w:val="24"/>
                <w:szCs w:val="24"/>
              </w:rPr>
            </w:pPr>
            <w:r w:rsidRPr="00CB4950">
              <w:rPr>
                <w:rFonts w:ascii="Calibri" w:eastAsia="Calibri" w:hAnsi="Calibri" w:cs="Calibri"/>
                <w:b/>
                <w:sz w:val="24"/>
                <w:szCs w:val="24"/>
              </w:rPr>
              <w:t xml:space="preserve">CBR Annual Airspace Used (CY) </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tcPr>
          <w:p w14:paraId="1BF59A55" w14:textId="77777777" w:rsidR="006F646F" w:rsidRPr="00CB4950" w:rsidRDefault="006F646F" w:rsidP="00CD02A5">
            <w:pPr>
              <w:jc w:val="center"/>
              <w:rPr>
                <w:rFonts w:ascii="Calibri" w:eastAsia="Calibri" w:hAnsi="Calibri" w:cs="Calibri"/>
                <w:b/>
                <w:sz w:val="24"/>
                <w:szCs w:val="24"/>
              </w:rPr>
            </w:pPr>
            <w:r w:rsidRPr="00CB4950">
              <w:rPr>
                <w:rFonts w:ascii="Calibri" w:eastAsia="Calibri" w:hAnsi="Calibri" w:cs="Calibri"/>
                <w:b/>
                <w:sz w:val="24"/>
                <w:szCs w:val="24"/>
              </w:rPr>
              <w:t>CBR Remaining Airspace (cy)</w:t>
            </w:r>
          </w:p>
        </w:tc>
      </w:tr>
      <w:tr w:rsidR="006F646F" w:rsidRPr="00CB4950" w14:paraId="3C47FBDA" w14:textId="77777777" w:rsidTr="00CD02A5">
        <w:trPr>
          <w:trHeight w:val="300"/>
        </w:trPr>
        <w:tc>
          <w:tcPr>
            <w:tcW w:w="0" w:type="auto"/>
            <w:tcBorders>
              <w:top w:val="single" w:sz="4" w:space="0" w:color="auto"/>
              <w:left w:val="single" w:sz="8" w:space="0" w:color="auto"/>
              <w:bottom w:val="single" w:sz="8" w:space="0" w:color="auto"/>
              <w:right w:val="single" w:sz="8" w:space="0" w:color="auto"/>
            </w:tcBorders>
            <w:noWrap/>
            <w:vAlign w:val="center"/>
            <w:hideMark/>
          </w:tcPr>
          <w:p w14:paraId="69B349D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1993</w:t>
            </w:r>
          </w:p>
        </w:tc>
        <w:tc>
          <w:tcPr>
            <w:tcW w:w="0" w:type="auto"/>
            <w:tcBorders>
              <w:top w:val="single" w:sz="4" w:space="0" w:color="auto"/>
              <w:left w:val="nil"/>
              <w:bottom w:val="single" w:sz="8" w:space="0" w:color="auto"/>
              <w:right w:val="single" w:sz="8" w:space="0" w:color="auto"/>
            </w:tcBorders>
            <w:noWrap/>
            <w:vAlign w:val="center"/>
            <w:hideMark/>
          </w:tcPr>
          <w:p w14:paraId="1E25D82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310,648</w:t>
            </w:r>
          </w:p>
        </w:tc>
        <w:tc>
          <w:tcPr>
            <w:tcW w:w="1814" w:type="dxa"/>
            <w:tcBorders>
              <w:top w:val="single" w:sz="4" w:space="0" w:color="auto"/>
              <w:left w:val="nil"/>
              <w:bottom w:val="single" w:sz="8" w:space="0" w:color="auto"/>
              <w:right w:val="single" w:sz="8" w:space="0" w:color="auto"/>
            </w:tcBorders>
            <w:noWrap/>
            <w:vAlign w:val="center"/>
            <w:hideMark/>
          </w:tcPr>
          <w:p w14:paraId="2CE2892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4" w:space="0" w:color="auto"/>
              <w:left w:val="nil"/>
              <w:bottom w:val="single" w:sz="8" w:space="0" w:color="auto"/>
              <w:right w:val="single" w:sz="4" w:space="0" w:color="auto"/>
            </w:tcBorders>
          </w:tcPr>
          <w:p w14:paraId="09B4FC28"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single" w:sz="4" w:space="0" w:color="auto"/>
              <w:left w:val="single" w:sz="4" w:space="0" w:color="auto"/>
              <w:bottom w:val="single" w:sz="8" w:space="0" w:color="auto"/>
              <w:right w:val="single" w:sz="8" w:space="0" w:color="auto"/>
            </w:tcBorders>
          </w:tcPr>
          <w:p w14:paraId="7F3A5395"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single" w:sz="4" w:space="0" w:color="auto"/>
              <w:left w:val="nil"/>
              <w:bottom w:val="single" w:sz="8" w:space="0" w:color="auto"/>
              <w:right w:val="single" w:sz="8" w:space="0" w:color="auto"/>
            </w:tcBorders>
          </w:tcPr>
          <w:p w14:paraId="7BA57F26"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single" w:sz="4" w:space="0" w:color="auto"/>
              <w:left w:val="nil"/>
              <w:bottom w:val="single" w:sz="8" w:space="0" w:color="auto"/>
              <w:right w:val="single" w:sz="8" w:space="0" w:color="auto"/>
            </w:tcBorders>
          </w:tcPr>
          <w:p w14:paraId="170BD71C"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545BC9C3"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3095BA4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1994</w:t>
            </w:r>
          </w:p>
        </w:tc>
        <w:tc>
          <w:tcPr>
            <w:tcW w:w="0" w:type="auto"/>
            <w:tcBorders>
              <w:top w:val="nil"/>
              <w:left w:val="nil"/>
              <w:bottom w:val="single" w:sz="8" w:space="0" w:color="auto"/>
              <w:right w:val="single" w:sz="8" w:space="0" w:color="auto"/>
            </w:tcBorders>
            <w:noWrap/>
            <w:vAlign w:val="center"/>
            <w:hideMark/>
          </w:tcPr>
          <w:p w14:paraId="7B17243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268,472</w:t>
            </w:r>
          </w:p>
        </w:tc>
        <w:tc>
          <w:tcPr>
            <w:tcW w:w="1814" w:type="dxa"/>
            <w:tcBorders>
              <w:top w:val="nil"/>
              <w:left w:val="nil"/>
              <w:bottom w:val="single" w:sz="8" w:space="0" w:color="auto"/>
              <w:right w:val="single" w:sz="8" w:space="0" w:color="auto"/>
            </w:tcBorders>
            <w:noWrap/>
            <w:vAlign w:val="center"/>
            <w:hideMark/>
          </w:tcPr>
          <w:p w14:paraId="41D4E1D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8" w:space="0" w:color="auto"/>
              <w:left w:val="nil"/>
              <w:bottom w:val="single" w:sz="8" w:space="0" w:color="auto"/>
              <w:right w:val="single" w:sz="4" w:space="0" w:color="auto"/>
            </w:tcBorders>
          </w:tcPr>
          <w:p w14:paraId="1EE9C89C"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4" w:space="0" w:color="auto"/>
              <w:bottom w:val="single" w:sz="8" w:space="0" w:color="auto"/>
              <w:right w:val="single" w:sz="8" w:space="0" w:color="auto"/>
            </w:tcBorders>
          </w:tcPr>
          <w:p w14:paraId="09C1BCAD"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nil"/>
              <w:left w:val="nil"/>
              <w:bottom w:val="single" w:sz="8" w:space="0" w:color="auto"/>
              <w:right w:val="single" w:sz="8" w:space="0" w:color="auto"/>
            </w:tcBorders>
          </w:tcPr>
          <w:p w14:paraId="686FEE92"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nil"/>
              <w:left w:val="nil"/>
              <w:bottom w:val="single" w:sz="8" w:space="0" w:color="auto"/>
              <w:right w:val="single" w:sz="8" w:space="0" w:color="auto"/>
            </w:tcBorders>
          </w:tcPr>
          <w:p w14:paraId="292039F2"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3176C045"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6058174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1995</w:t>
            </w:r>
          </w:p>
        </w:tc>
        <w:tc>
          <w:tcPr>
            <w:tcW w:w="0" w:type="auto"/>
            <w:tcBorders>
              <w:top w:val="nil"/>
              <w:left w:val="nil"/>
              <w:bottom w:val="single" w:sz="8" w:space="0" w:color="auto"/>
              <w:right w:val="single" w:sz="8" w:space="0" w:color="auto"/>
            </w:tcBorders>
            <w:noWrap/>
            <w:vAlign w:val="center"/>
            <w:hideMark/>
          </w:tcPr>
          <w:p w14:paraId="2E82E08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287,932</w:t>
            </w:r>
          </w:p>
        </w:tc>
        <w:tc>
          <w:tcPr>
            <w:tcW w:w="1814" w:type="dxa"/>
            <w:tcBorders>
              <w:top w:val="nil"/>
              <w:left w:val="nil"/>
              <w:bottom w:val="single" w:sz="8" w:space="0" w:color="auto"/>
              <w:right w:val="single" w:sz="8" w:space="0" w:color="auto"/>
            </w:tcBorders>
            <w:noWrap/>
            <w:vAlign w:val="center"/>
            <w:hideMark/>
          </w:tcPr>
          <w:p w14:paraId="6DEC890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8" w:space="0" w:color="auto"/>
              <w:left w:val="nil"/>
              <w:bottom w:val="single" w:sz="8" w:space="0" w:color="auto"/>
              <w:right w:val="single" w:sz="4" w:space="0" w:color="auto"/>
            </w:tcBorders>
          </w:tcPr>
          <w:p w14:paraId="265210FD"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4" w:space="0" w:color="auto"/>
              <w:bottom w:val="single" w:sz="8" w:space="0" w:color="auto"/>
              <w:right w:val="single" w:sz="8" w:space="0" w:color="auto"/>
            </w:tcBorders>
          </w:tcPr>
          <w:p w14:paraId="356270FC"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nil"/>
              <w:left w:val="nil"/>
              <w:bottom w:val="single" w:sz="8" w:space="0" w:color="auto"/>
              <w:right w:val="single" w:sz="8" w:space="0" w:color="auto"/>
            </w:tcBorders>
          </w:tcPr>
          <w:p w14:paraId="1C953A6E"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nil"/>
              <w:left w:val="nil"/>
              <w:bottom w:val="single" w:sz="8" w:space="0" w:color="auto"/>
              <w:right w:val="single" w:sz="8" w:space="0" w:color="auto"/>
            </w:tcBorders>
          </w:tcPr>
          <w:p w14:paraId="23EF615C"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485E0AE3"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33BAD33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1996</w:t>
            </w:r>
          </w:p>
        </w:tc>
        <w:tc>
          <w:tcPr>
            <w:tcW w:w="0" w:type="auto"/>
            <w:tcBorders>
              <w:top w:val="nil"/>
              <w:left w:val="nil"/>
              <w:bottom w:val="single" w:sz="8" w:space="0" w:color="auto"/>
              <w:right w:val="single" w:sz="8" w:space="0" w:color="auto"/>
            </w:tcBorders>
            <w:noWrap/>
            <w:vAlign w:val="center"/>
            <w:hideMark/>
          </w:tcPr>
          <w:p w14:paraId="2146792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369,835</w:t>
            </w:r>
          </w:p>
        </w:tc>
        <w:tc>
          <w:tcPr>
            <w:tcW w:w="1814" w:type="dxa"/>
            <w:tcBorders>
              <w:top w:val="nil"/>
              <w:left w:val="nil"/>
              <w:bottom w:val="single" w:sz="8" w:space="0" w:color="auto"/>
              <w:right w:val="single" w:sz="8" w:space="0" w:color="auto"/>
            </w:tcBorders>
            <w:noWrap/>
            <w:vAlign w:val="center"/>
            <w:hideMark/>
          </w:tcPr>
          <w:p w14:paraId="27A32E5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8" w:space="0" w:color="auto"/>
              <w:left w:val="nil"/>
              <w:bottom w:val="single" w:sz="8" w:space="0" w:color="auto"/>
              <w:right w:val="single" w:sz="4" w:space="0" w:color="auto"/>
            </w:tcBorders>
          </w:tcPr>
          <w:p w14:paraId="3A351FD6"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4" w:space="0" w:color="auto"/>
              <w:bottom w:val="single" w:sz="8" w:space="0" w:color="auto"/>
              <w:right w:val="single" w:sz="8" w:space="0" w:color="auto"/>
            </w:tcBorders>
          </w:tcPr>
          <w:p w14:paraId="23132DFC"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nil"/>
              <w:left w:val="nil"/>
              <w:bottom w:val="single" w:sz="8" w:space="0" w:color="auto"/>
              <w:right w:val="single" w:sz="8" w:space="0" w:color="auto"/>
            </w:tcBorders>
          </w:tcPr>
          <w:p w14:paraId="31D7DCD6"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nil"/>
              <w:left w:val="nil"/>
              <w:bottom w:val="single" w:sz="8" w:space="0" w:color="auto"/>
              <w:right w:val="single" w:sz="8" w:space="0" w:color="auto"/>
            </w:tcBorders>
          </w:tcPr>
          <w:p w14:paraId="413FD1BD"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13C02D3E"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5AD48E6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1997</w:t>
            </w:r>
          </w:p>
        </w:tc>
        <w:tc>
          <w:tcPr>
            <w:tcW w:w="0" w:type="auto"/>
            <w:tcBorders>
              <w:top w:val="nil"/>
              <w:left w:val="nil"/>
              <w:bottom w:val="single" w:sz="8" w:space="0" w:color="auto"/>
              <w:right w:val="single" w:sz="8" w:space="0" w:color="auto"/>
            </w:tcBorders>
            <w:noWrap/>
            <w:vAlign w:val="center"/>
            <w:hideMark/>
          </w:tcPr>
          <w:p w14:paraId="276769B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378,919</w:t>
            </w:r>
          </w:p>
        </w:tc>
        <w:tc>
          <w:tcPr>
            <w:tcW w:w="1814" w:type="dxa"/>
            <w:tcBorders>
              <w:top w:val="nil"/>
              <w:left w:val="nil"/>
              <w:bottom w:val="single" w:sz="8" w:space="0" w:color="auto"/>
              <w:right w:val="single" w:sz="8" w:space="0" w:color="auto"/>
            </w:tcBorders>
            <w:noWrap/>
            <w:vAlign w:val="center"/>
            <w:hideMark/>
          </w:tcPr>
          <w:p w14:paraId="454EA39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8" w:space="0" w:color="auto"/>
              <w:left w:val="nil"/>
              <w:bottom w:val="single" w:sz="8" w:space="0" w:color="auto"/>
              <w:right w:val="single" w:sz="4" w:space="0" w:color="auto"/>
            </w:tcBorders>
          </w:tcPr>
          <w:p w14:paraId="74E5933E"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4" w:space="0" w:color="auto"/>
              <w:bottom w:val="single" w:sz="8" w:space="0" w:color="auto"/>
              <w:right w:val="single" w:sz="8" w:space="0" w:color="auto"/>
            </w:tcBorders>
          </w:tcPr>
          <w:p w14:paraId="264E99C0"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nil"/>
              <w:left w:val="nil"/>
              <w:bottom w:val="single" w:sz="8" w:space="0" w:color="auto"/>
              <w:right w:val="single" w:sz="8" w:space="0" w:color="auto"/>
            </w:tcBorders>
          </w:tcPr>
          <w:p w14:paraId="306D27B4"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nil"/>
              <w:left w:val="nil"/>
              <w:bottom w:val="single" w:sz="8" w:space="0" w:color="auto"/>
              <w:right w:val="single" w:sz="8" w:space="0" w:color="auto"/>
            </w:tcBorders>
          </w:tcPr>
          <w:p w14:paraId="6698ECC5"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368164B7"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4E9457A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1998</w:t>
            </w:r>
          </w:p>
        </w:tc>
        <w:tc>
          <w:tcPr>
            <w:tcW w:w="0" w:type="auto"/>
            <w:tcBorders>
              <w:top w:val="nil"/>
              <w:left w:val="nil"/>
              <w:bottom w:val="single" w:sz="8" w:space="0" w:color="auto"/>
              <w:right w:val="single" w:sz="8" w:space="0" w:color="auto"/>
            </w:tcBorders>
            <w:noWrap/>
            <w:vAlign w:val="center"/>
            <w:hideMark/>
          </w:tcPr>
          <w:p w14:paraId="2BF44B8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395,751</w:t>
            </w:r>
          </w:p>
        </w:tc>
        <w:tc>
          <w:tcPr>
            <w:tcW w:w="1814" w:type="dxa"/>
            <w:tcBorders>
              <w:top w:val="nil"/>
              <w:left w:val="nil"/>
              <w:bottom w:val="single" w:sz="8" w:space="0" w:color="auto"/>
              <w:right w:val="single" w:sz="8" w:space="0" w:color="auto"/>
            </w:tcBorders>
            <w:noWrap/>
            <w:vAlign w:val="center"/>
            <w:hideMark/>
          </w:tcPr>
          <w:p w14:paraId="560194E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8" w:space="0" w:color="auto"/>
              <w:left w:val="nil"/>
              <w:bottom w:val="single" w:sz="8" w:space="0" w:color="auto"/>
              <w:right w:val="single" w:sz="4" w:space="0" w:color="auto"/>
            </w:tcBorders>
          </w:tcPr>
          <w:p w14:paraId="15B9C06E"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4" w:space="0" w:color="auto"/>
              <w:bottom w:val="single" w:sz="8" w:space="0" w:color="auto"/>
              <w:right w:val="single" w:sz="8" w:space="0" w:color="auto"/>
            </w:tcBorders>
          </w:tcPr>
          <w:p w14:paraId="1217E806"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nil"/>
              <w:left w:val="nil"/>
              <w:bottom w:val="single" w:sz="8" w:space="0" w:color="auto"/>
              <w:right w:val="single" w:sz="8" w:space="0" w:color="auto"/>
            </w:tcBorders>
          </w:tcPr>
          <w:p w14:paraId="3A2CDA2A"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nil"/>
              <w:left w:val="nil"/>
              <w:bottom w:val="single" w:sz="8" w:space="0" w:color="auto"/>
              <w:right w:val="single" w:sz="8" w:space="0" w:color="auto"/>
            </w:tcBorders>
          </w:tcPr>
          <w:p w14:paraId="65BA48A2"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1A3BDC56"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1D018F9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1999</w:t>
            </w:r>
          </w:p>
        </w:tc>
        <w:tc>
          <w:tcPr>
            <w:tcW w:w="0" w:type="auto"/>
            <w:tcBorders>
              <w:top w:val="nil"/>
              <w:left w:val="nil"/>
              <w:bottom w:val="single" w:sz="8" w:space="0" w:color="auto"/>
              <w:right w:val="single" w:sz="8" w:space="0" w:color="auto"/>
            </w:tcBorders>
            <w:noWrap/>
            <w:vAlign w:val="center"/>
            <w:hideMark/>
          </w:tcPr>
          <w:p w14:paraId="5FEEFFF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401,408</w:t>
            </w:r>
          </w:p>
        </w:tc>
        <w:tc>
          <w:tcPr>
            <w:tcW w:w="1814" w:type="dxa"/>
            <w:tcBorders>
              <w:top w:val="nil"/>
              <w:left w:val="nil"/>
              <w:bottom w:val="single" w:sz="8" w:space="0" w:color="auto"/>
              <w:right w:val="single" w:sz="8" w:space="0" w:color="auto"/>
            </w:tcBorders>
            <w:noWrap/>
            <w:vAlign w:val="center"/>
            <w:hideMark/>
          </w:tcPr>
          <w:p w14:paraId="6EDE1AE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8" w:space="0" w:color="auto"/>
              <w:left w:val="nil"/>
              <w:bottom w:val="single" w:sz="8" w:space="0" w:color="auto"/>
              <w:right w:val="single" w:sz="4" w:space="0" w:color="auto"/>
            </w:tcBorders>
          </w:tcPr>
          <w:p w14:paraId="59BA8234"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4" w:space="0" w:color="auto"/>
              <w:bottom w:val="single" w:sz="8" w:space="0" w:color="auto"/>
              <w:right w:val="single" w:sz="8" w:space="0" w:color="auto"/>
            </w:tcBorders>
          </w:tcPr>
          <w:p w14:paraId="6321FBF3"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nil"/>
              <w:left w:val="nil"/>
              <w:bottom w:val="single" w:sz="8" w:space="0" w:color="auto"/>
              <w:right w:val="single" w:sz="8" w:space="0" w:color="auto"/>
            </w:tcBorders>
          </w:tcPr>
          <w:p w14:paraId="29CB8B2C"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nil"/>
              <w:left w:val="nil"/>
              <w:bottom w:val="single" w:sz="8" w:space="0" w:color="auto"/>
              <w:right w:val="single" w:sz="8" w:space="0" w:color="auto"/>
            </w:tcBorders>
          </w:tcPr>
          <w:p w14:paraId="00A6CE10"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16A203C5" w14:textId="77777777" w:rsidTr="00CD02A5">
        <w:trPr>
          <w:trHeight w:val="300"/>
        </w:trPr>
        <w:tc>
          <w:tcPr>
            <w:tcW w:w="0" w:type="auto"/>
            <w:tcBorders>
              <w:top w:val="nil"/>
              <w:left w:val="single" w:sz="8" w:space="0" w:color="auto"/>
              <w:bottom w:val="single" w:sz="4" w:space="0" w:color="auto"/>
              <w:right w:val="single" w:sz="8" w:space="0" w:color="auto"/>
            </w:tcBorders>
            <w:noWrap/>
            <w:vAlign w:val="center"/>
            <w:hideMark/>
          </w:tcPr>
          <w:p w14:paraId="05807C4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2000</w:t>
            </w:r>
          </w:p>
        </w:tc>
        <w:tc>
          <w:tcPr>
            <w:tcW w:w="0" w:type="auto"/>
            <w:tcBorders>
              <w:top w:val="nil"/>
              <w:left w:val="nil"/>
              <w:bottom w:val="single" w:sz="4" w:space="0" w:color="auto"/>
              <w:right w:val="single" w:sz="8" w:space="0" w:color="auto"/>
            </w:tcBorders>
            <w:shd w:val="clear" w:color="auto" w:fill="FFCCCC"/>
            <w:noWrap/>
            <w:vAlign w:val="center"/>
            <w:hideMark/>
          </w:tcPr>
          <w:p w14:paraId="2D2C752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413,493</w:t>
            </w:r>
          </w:p>
        </w:tc>
        <w:tc>
          <w:tcPr>
            <w:tcW w:w="1814" w:type="dxa"/>
            <w:tcBorders>
              <w:top w:val="nil"/>
              <w:left w:val="nil"/>
              <w:bottom w:val="single" w:sz="4" w:space="0" w:color="auto"/>
              <w:right w:val="single" w:sz="8" w:space="0" w:color="auto"/>
            </w:tcBorders>
            <w:noWrap/>
            <w:vAlign w:val="center"/>
            <w:hideMark/>
          </w:tcPr>
          <w:p w14:paraId="1D96B0E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single" w:sz="8" w:space="0" w:color="auto"/>
              <w:left w:val="nil"/>
              <w:bottom w:val="single" w:sz="4" w:space="0" w:color="auto"/>
              <w:right w:val="single" w:sz="4" w:space="0" w:color="auto"/>
            </w:tcBorders>
          </w:tcPr>
          <w:p w14:paraId="390D15F9"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4" w:space="0" w:color="auto"/>
              <w:bottom w:val="single" w:sz="4" w:space="0" w:color="auto"/>
              <w:right w:val="single" w:sz="8" w:space="0" w:color="auto"/>
            </w:tcBorders>
          </w:tcPr>
          <w:p w14:paraId="4610CC4F" w14:textId="77777777" w:rsidR="006F646F" w:rsidRPr="00CB4950" w:rsidRDefault="006F646F" w:rsidP="00CD02A5">
            <w:pPr>
              <w:jc w:val="center"/>
              <w:rPr>
                <w:rFonts w:ascii="Calibri" w:eastAsia="Calibri" w:hAnsi="Calibri" w:cs="Calibri"/>
                <w:color w:val="000000"/>
                <w:sz w:val="24"/>
                <w:szCs w:val="24"/>
              </w:rPr>
            </w:pPr>
          </w:p>
        </w:tc>
        <w:tc>
          <w:tcPr>
            <w:tcW w:w="1650" w:type="dxa"/>
            <w:tcBorders>
              <w:top w:val="nil"/>
              <w:left w:val="nil"/>
              <w:bottom w:val="single" w:sz="4" w:space="0" w:color="auto"/>
              <w:right w:val="single" w:sz="8" w:space="0" w:color="auto"/>
            </w:tcBorders>
          </w:tcPr>
          <w:p w14:paraId="0D7AC294" w14:textId="77777777" w:rsidR="006F646F" w:rsidRPr="00CB4950" w:rsidRDefault="006F646F" w:rsidP="00CD02A5">
            <w:pPr>
              <w:jc w:val="center"/>
              <w:rPr>
                <w:rFonts w:ascii="Calibri" w:eastAsia="Calibri" w:hAnsi="Calibri" w:cs="Calibri"/>
                <w:color w:val="000000"/>
                <w:sz w:val="24"/>
                <w:szCs w:val="24"/>
              </w:rPr>
            </w:pPr>
          </w:p>
        </w:tc>
        <w:tc>
          <w:tcPr>
            <w:tcW w:w="1887" w:type="dxa"/>
            <w:tcBorders>
              <w:top w:val="nil"/>
              <w:left w:val="nil"/>
              <w:bottom w:val="single" w:sz="4" w:space="0" w:color="auto"/>
              <w:right w:val="single" w:sz="8" w:space="0" w:color="auto"/>
            </w:tcBorders>
          </w:tcPr>
          <w:p w14:paraId="39874D01" w14:textId="77777777" w:rsidR="006F646F" w:rsidRPr="00CB4950" w:rsidRDefault="006F646F" w:rsidP="00CD02A5">
            <w:pPr>
              <w:jc w:val="center"/>
              <w:rPr>
                <w:rFonts w:ascii="Calibri" w:eastAsia="Calibri" w:hAnsi="Calibri" w:cs="Calibri"/>
                <w:color w:val="000000"/>
                <w:sz w:val="24"/>
                <w:szCs w:val="24"/>
              </w:rPr>
            </w:pPr>
          </w:p>
        </w:tc>
      </w:tr>
      <w:tr w:rsidR="006F646F" w:rsidRPr="00CB4950" w14:paraId="2E6AEF9F" w14:textId="77777777" w:rsidTr="00CD02A5">
        <w:trPr>
          <w:trHeight w:val="300"/>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0775F5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90ED4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425,723</w:t>
            </w:r>
          </w:p>
        </w:tc>
        <w:tc>
          <w:tcPr>
            <w:tcW w:w="1814" w:type="dxa"/>
            <w:tcBorders>
              <w:top w:val="single" w:sz="4" w:space="0" w:color="auto"/>
              <w:left w:val="single" w:sz="4" w:space="0" w:color="auto"/>
              <w:bottom w:val="single" w:sz="4" w:space="0" w:color="auto"/>
              <w:right w:val="single" w:sz="4" w:space="0" w:color="auto"/>
            </w:tcBorders>
            <w:noWrap/>
            <w:vAlign w:val="center"/>
            <w:hideMark/>
          </w:tcPr>
          <w:p w14:paraId="78EBE63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600,000</w:t>
            </w:r>
          </w:p>
        </w:tc>
        <w:tc>
          <w:tcPr>
            <w:tcW w:w="1768" w:type="dxa"/>
            <w:tcBorders>
              <w:top w:val="single" w:sz="4" w:space="0" w:color="auto"/>
              <w:left w:val="single" w:sz="4" w:space="0" w:color="auto"/>
              <w:bottom w:val="single" w:sz="4" w:space="0" w:color="auto"/>
              <w:right w:val="single" w:sz="4" w:space="0" w:color="auto"/>
            </w:tcBorders>
            <w:shd w:val="clear" w:color="000000" w:fill="D9D9D9"/>
          </w:tcPr>
          <w:p w14:paraId="0CEB4D2F"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000000" w:fill="D9D9D9"/>
            <w:vAlign w:val="bottom"/>
          </w:tcPr>
          <w:p w14:paraId="39FCB3F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w:t>
            </w:r>
          </w:p>
        </w:tc>
        <w:tc>
          <w:tcPr>
            <w:tcW w:w="1650" w:type="dxa"/>
            <w:tcBorders>
              <w:top w:val="single" w:sz="4" w:space="0" w:color="auto"/>
              <w:left w:val="single" w:sz="4" w:space="0" w:color="auto"/>
              <w:bottom w:val="single" w:sz="4" w:space="0" w:color="auto"/>
              <w:right w:val="single" w:sz="4" w:space="0" w:color="auto"/>
            </w:tcBorders>
            <w:shd w:val="clear" w:color="000000" w:fill="D9D9D9"/>
            <w:vAlign w:val="bottom"/>
          </w:tcPr>
          <w:p w14:paraId="2E90741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473000</w:t>
            </w:r>
          </w:p>
        </w:tc>
        <w:tc>
          <w:tcPr>
            <w:tcW w:w="1887" w:type="dxa"/>
            <w:tcBorders>
              <w:top w:val="single" w:sz="4" w:space="0" w:color="auto"/>
              <w:left w:val="single" w:sz="4" w:space="0" w:color="auto"/>
              <w:bottom w:val="single" w:sz="4" w:space="0" w:color="auto"/>
              <w:right w:val="single" w:sz="4" w:space="0" w:color="auto"/>
            </w:tcBorders>
            <w:shd w:val="clear" w:color="000000" w:fill="D9D9D9"/>
          </w:tcPr>
          <w:p w14:paraId="76C2E8D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25,238,000 </w:t>
            </w:r>
          </w:p>
        </w:tc>
      </w:tr>
      <w:tr w:rsidR="006F646F" w:rsidRPr="00CB4950" w14:paraId="3BAC823E" w14:textId="77777777" w:rsidTr="00CD02A5">
        <w:trPr>
          <w:trHeight w:val="300"/>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777821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C6E30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453,261</w:t>
            </w:r>
          </w:p>
        </w:tc>
        <w:tc>
          <w:tcPr>
            <w:tcW w:w="1814" w:type="dxa"/>
            <w:tcBorders>
              <w:top w:val="single" w:sz="4" w:space="0" w:color="auto"/>
              <w:left w:val="single" w:sz="4" w:space="0" w:color="auto"/>
              <w:bottom w:val="single" w:sz="4" w:space="0" w:color="auto"/>
              <w:right w:val="single" w:sz="4" w:space="0" w:color="auto"/>
            </w:tcBorders>
            <w:noWrap/>
            <w:vAlign w:val="center"/>
            <w:hideMark/>
          </w:tcPr>
          <w:p w14:paraId="4F007D9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612,000</w:t>
            </w:r>
          </w:p>
        </w:tc>
        <w:tc>
          <w:tcPr>
            <w:tcW w:w="1768" w:type="dxa"/>
            <w:tcBorders>
              <w:top w:val="single" w:sz="4" w:space="0" w:color="auto"/>
              <w:left w:val="single" w:sz="4" w:space="0" w:color="auto"/>
              <w:bottom w:val="single" w:sz="4" w:space="0" w:color="auto"/>
              <w:right w:val="single" w:sz="4" w:space="0" w:color="auto"/>
            </w:tcBorders>
            <w:shd w:val="clear" w:color="000000" w:fill="D9D9D9"/>
          </w:tcPr>
          <w:p w14:paraId="60DF52A9"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000000" w:fill="D9D9D9"/>
            <w:vAlign w:val="center"/>
          </w:tcPr>
          <w:p w14:paraId="727315C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0.98</w:t>
            </w:r>
          </w:p>
        </w:tc>
        <w:tc>
          <w:tcPr>
            <w:tcW w:w="1650" w:type="dxa"/>
            <w:tcBorders>
              <w:top w:val="single" w:sz="4" w:space="0" w:color="auto"/>
              <w:left w:val="single" w:sz="4" w:space="0" w:color="auto"/>
              <w:bottom w:val="single" w:sz="4" w:space="0" w:color="auto"/>
              <w:right w:val="single" w:sz="4" w:space="0" w:color="auto"/>
            </w:tcBorders>
            <w:shd w:val="clear" w:color="000000" w:fill="D9D9D9"/>
            <w:vAlign w:val="center"/>
          </w:tcPr>
          <w:p w14:paraId="441855B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561,592</w:t>
            </w:r>
          </w:p>
        </w:tc>
        <w:tc>
          <w:tcPr>
            <w:tcW w:w="1887" w:type="dxa"/>
            <w:tcBorders>
              <w:top w:val="single" w:sz="4" w:space="0" w:color="auto"/>
              <w:left w:val="single" w:sz="4" w:space="0" w:color="auto"/>
              <w:bottom w:val="single" w:sz="4" w:space="0" w:color="auto"/>
              <w:right w:val="single" w:sz="4" w:space="0" w:color="auto"/>
            </w:tcBorders>
            <w:shd w:val="clear" w:color="000000" w:fill="D9D9D9"/>
          </w:tcPr>
          <w:p w14:paraId="749CBA8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24,776,627 </w:t>
            </w:r>
          </w:p>
        </w:tc>
      </w:tr>
      <w:tr w:rsidR="006F646F" w:rsidRPr="00CB4950" w14:paraId="18508695" w14:textId="77777777" w:rsidTr="00CD02A5">
        <w:trPr>
          <w:trHeight w:val="300"/>
        </w:trPr>
        <w:tc>
          <w:tcPr>
            <w:tcW w:w="0" w:type="auto"/>
            <w:tcBorders>
              <w:top w:val="single" w:sz="4" w:space="0" w:color="auto"/>
              <w:left w:val="single" w:sz="8" w:space="0" w:color="auto"/>
              <w:bottom w:val="single" w:sz="8" w:space="0" w:color="auto"/>
              <w:right w:val="single" w:sz="8" w:space="0" w:color="auto"/>
            </w:tcBorders>
            <w:noWrap/>
            <w:vAlign w:val="center"/>
            <w:hideMark/>
          </w:tcPr>
          <w:p w14:paraId="640D5D2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2003</w:t>
            </w:r>
          </w:p>
        </w:tc>
        <w:tc>
          <w:tcPr>
            <w:tcW w:w="0" w:type="auto"/>
            <w:tcBorders>
              <w:top w:val="single" w:sz="4" w:space="0" w:color="auto"/>
              <w:left w:val="nil"/>
              <w:bottom w:val="single" w:sz="8" w:space="0" w:color="auto"/>
              <w:right w:val="single" w:sz="8" w:space="0" w:color="auto"/>
            </w:tcBorders>
            <w:noWrap/>
            <w:vAlign w:val="center"/>
            <w:hideMark/>
          </w:tcPr>
          <w:p w14:paraId="6FBBE98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550,506</w:t>
            </w:r>
          </w:p>
        </w:tc>
        <w:tc>
          <w:tcPr>
            <w:tcW w:w="1814" w:type="dxa"/>
            <w:tcBorders>
              <w:top w:val="single" w:sz="4" w:space="0" w:color="auto"/>
              <w:left w:val="nil"/>
              <w:bottom w:val="single" w:sz="8" w:space="0" w:color="auto"/>
              <w:right w:val="single" w:sz="8" w:space="0" w:color="auto"/>
            </w:tcBorders>
            <w:noWrap/>
            <w:vAlign w:val="center"/>
            <w:hideMark/>
          </w:tcPr>
          <w:p w14:paraId="16FAAEA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624,240</w:t>
            </w:r>
          </w:p>
        </w:tc>
        <w:tc>
          <w:tcPr>
            <w:tcW w:w="1768" w:type="dxa"/>
            <w:tcBorders>
              <w:top w:val="single" w:sz="4" w:space="0" w:color="auto"/>
              <w:left w:val="single" w:sz="8" w:space="0" w:color="auto"/>
              <w:bottom w:val="nil"/>
              <w:right w:val="single" w:sz="8" w:space="0" w:color="auto"/>
            </w:tcBorders>
            <w:shd w:val="clear" w:color="000000" w:fill="D9D9D9"/>
          </w:tcPr>
          <w:p w14:paraId="2A0AB840"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single" w:sz="4" w:space="0" w:color="auto"/>
              <w:left w:val="single" w:sz="8" w:space="0" w:color="auto"/>
              <w:bottom w:val="nil"/>
              <w:right w:val="single" w:sz="8" w:space="0" w:color="auto"/>
            </w:tcBorders>
            <w:shd w:val="clear" w:color="000000" w:fill="D9D9D9"/>
            <w:vAlign w:val="center"/>
          </w:tcPr>
          <w:p w14:paraId="784B2D9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0.98</w:t>
            </w:r>
          </w:p>
        </w:tc>
        <w:tc>
          <w:tcPr>
            <w:tcW w:w="1650" w:type="dxa"/>
            <w:tcBorders>
              <w:top w:val="single" w:sz="4" w:space="0" w:color="auto"/>
              <w:left w:val="nil"/>
              <w:bottom w:val="nil"/>
              <w:right w:val="nil"/>
            </w:tcBorders>
            <w:shd w:val="clear" w:color="000000" w:fill="D9D9D9"/>
            <w:vAlign w:val="center"/>
          </w:tcPr>
          <w:p w14:paraId="7720D87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561,592</w:t>
            </w:r>
          </w:p>
        </w:tc>
        <w:tc>
          <w:tcPr>
            <w:tcW w:w="1887" w:type="dxa"/>
            <w:tcBorders>
              <w:top w:val="single" w:sz="4" w:space="0" w:color="auto"/>
              <w:left w:val="single" w:sz="4" w:space="0" w:color="auto"/>
              <w:bottom w:val="single" w:sz="4" w:space="0" w:color="auto"/>
              <w:right w:val="single" w:sz="4" w:space="0" w:color="auto"/>
            </w:tcBorders>
            <w:shd w:val="clear" w:color="000000" w:fill="D9D9D9"/>
          </w:tcPr>
          <w:p w14:paraId="421E1D2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24,209,320 </w:t>
            </w:r>
          </w:p>
        </w:tc>
      </w:tr>
      <w:tr w:rsidR="006F646F" w:rsidRPr="00CB4950" w14:paraId="5E1757B6"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6447C4D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2004</w:t>
            </w:r>
          </w:p>
        </w:tc>
        <w:tc>
          <w:tcPr>
            <w:tcW w:w="0" w:type="auto"/>
            <w:tcBorders>
              <w:top w:val="nil"/>
              <w:left w:val="nil"/>
              <w:bottom w:val="single" w:sz="8" w:space="0" w:color="auto"/>
              <w:right w:val="single" w:sz="8" w:space="0" w:color="auto"/>
            </w:tcBorders>
            <w:noWrap/>
            <w:vAlign w:val="center"/>
            <w:hideMark/>
          </w:tcPr>
          <w:p w14:paraId="305652B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586,076</w:t>
            </w:r>
          </w:p>
        </w:tc>
        <w:tc>
          <w:tcPr>
            <w:tcW w:w="1814" w:type="dxa"/>
            <w:tcBorders>
              <w:top w:val="nil"/>
              <w:left w:val="nil"/>
              <w:bottom w:val="single" w:sz="8" w:space="0" w:color="auto"/>
              <w:right w:val="single" w:sz="8" w:space="0" w:color="auto"/>
            </w:tcBorders>
            <w:noWrap/>
            <w:vAlign w:val="center"/>
            <w:hideMark/>
          </w:tcPr>
          <w:p w14:paraId="7AB08A6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636,725</w:t>
            </w:r>
          </w:p>
        </w:tc>
        <w:tc>
          <w:tcPr>
            <w:tcW w:w="1768" w:type="dxa"/>
            <w:tcBorders>
              <w:top w:val="single" w:sz="4" w:space="0" w:color="auto"/>
              <w:left w:val="single" w:sz="8" w:space="0" w:color="auto"/>
              <w:bottom w:val="single" w:sz="8" w:space="0" w:color="auto"/>
              <w:right w:val="single" w:sz="8" w:space="0" w:color="auto"/>
            </w:tcBorders>
            <w:shd w:val="clear" w:color="000000" w:fill="D9D9D9"/>
          </w:tcPr>
          <w:p w14:paraId="61B978CA"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single" w:sz="4" w:space="0" w:color="auto"/>
              <w:left w:val="single" w:sz="8" w:space="0" w:color="auto"/>
              <w:bottom w:val="single" w:sz="8" w:space="0" w:color="auto"/>
              <w:right w:val="single" w:sz="8" w:space="0" w:color="auto"/>
            </w:tcBorders>
            <w:shd w:val="clear" w:color="000000" w:fill="D9D9D9"/>
            <w:vAlign w:val="center"/>
          </w:tcPr>
          <w:p w14:paraId="235BB73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0.80</w:t>
            </w:r>
          </w:p>
        </w:tc>
        <w:tc>
          <w:tcPr>
            <w:tcW w:w="1650" w:type="dxa"/>
            <w:tcBorders>
              <w:top w:val="single" w:sz="4" w:space="0" w:color="auto"/>
              <w:left w:val="nil"/>
              <w:bottom w:val="single" w:sz="8" w:space="0" w:color="auto"/>
              <w:right w:val="nil"/>
            </w:tcBorders>
            <w:shd w:val="clear" w:color="000000" w:fill="D9D9D9"/>
            <w:vAlign w:val="center"/>
          </w:tcPr>
          <w:p w14:paraId="1090D76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736,434</w:t>
            </w:r>
          </w:p>
        </w:tc>
        <w:tc>
          <w:tcPr>
            <w:tcW w:w="1887" w:type="dxa"/>
            <w:tcBorders>
              <w:top w:val="nil"/>
              <w:left w:val="single" w:sz="4" w:space="0" w:color="auto"/>
              <w:bottom w:val="single" w:sz="4" w:space="0" w:color="auto"/>
              <w:right w:val="single" w:sz="4" w:space="0" w:color="auto"/>
            </w:tcBorders>
            <w:shd w:val="clear" w:color="000000" w:fill="D9D9D9"/>
          </w:tcPr>
          <w:p w14:paraId="1FA37DA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24,513,192 </w:t>
            </w:r>
          </w:p>
        </w:tc>
      </w:tr>
      <w:tr w:rsidR="006F646F" w:rsidRPr="00CB4950" w14:paraId="5124D0F5"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408CD33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2005</w:t>
            </w:r>
          </w:p>
        </w:tc>
        <w:tc>
          <w:tcPr>
            <w:tcW w:w="0" w:type="auto"/>
            <w:tcBorders>
              <w:top w:val="nil"/>
              <w:left w:val="nil"/>
              <w:bottom w:val="single" w:sz="8" w:space="0" w:color="auto"/>
              <w:right w:val="single" w:sz="8" w:space="0" w:color="auto"/>
            </w:tcBorders>
            <w:noWrap/>
            <w:vAlign w:val="center"/>
            <w:hideMark/>
          </w:tcPr>
          <w:p w14:paraId="759070C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580,275</w:t>
            </w:r>
          </w:p>
        </w:tc>
        <w:tc>
          <w:tcPr>
            <w:tcW w:w="1814" w:type="dxa"/>
            <w:tcBorders>
              <w:top w:val="nil"/>
              <w:left w:val="nil"/>
              <w:bottom w:val="single" w:sz="8" w:space="0" w:color="auto"/>
              <w:right w:val="single" w:sz="8" w:space="0" w:color="auto"/>
            </w:tcBorders>
            <w:noWrap/>
            <w:vAlign w:val="center"/>
            <w:hideMark/>
          </w:tcPr>
          <w:p w14:paraId="41433CD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649,459</w:t>
            </w:r>
          </w:p>
        </w:tc>
        <w:tc>
          <w:tcPr>
            <w:tcW w:w="1768" w:type="dxa"/>
            <w:tcBorders>
              <w:top w:val="nil"/>
              <w:left w:val="single" w:sz="8" w:space="0" w:color="auto"/>
              <w:bottom w:val="single" w:sz="8" w:space="0" w:color="auto"/>
              <w:right w:val="single" w:sz="8" w:space="0" w:color="auto"/>
            </w:tcBorders>
            <w:shd w:val="clear" w:color="000000" w:fill="D9D9D9"/>
          </w:tcPr>
          <w:p w14:paraId="4B80CC28"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2724F72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0.80</w:t>
            </w:r>
          </w:p>
        </w:tc>
        <w:tc>
          <w:tcPr>
            <w:tcW w:w="1650" w:type="dxa"/>
            <w:tcBorders>
              <w:top w:val="nil"/>
              <w:left w:val="nil"/>
              <w:bottom w:val="single" w:sz="8" w:space="0" w:color="auto"/>
              <w:right w:val="nil"/>
            </w:tcBorders>
            <w:shd w:val="clear" w:color="000000" w:fill="D9D9D9"/>
            <w:vAlign w:val="center"/>
          </w:tcPr>
          <w:p w14:paraId="502A0D6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725,344</w:t>
            </w:r>
          </w:p>
        </w:tc>
        <w:tc>
          <w:tcPr>
            <w:tcW w:w="1887" w:type="dxa"/>
            <w:tcBorders>
              <w:top w:val="nil"/>
              <w:left w:val="single" w:sz="4" w:space="0" w:color="auto"/>
              <w:bottom w:val="single" w:sz="4" w:space="0" w:color="auto"/>
              <w:right w:val="single" w:sz="4" w:space="0" w:color="auto"/>
            </w:tcBorders>
            <w:shd w:val="clear" w:color="000000" w:fill="D9D9D9"/>
          </w:tcPr>
          <w:p w14:paraId="7850DC6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29,916,144 </w:t>
            </w:r>
          </w:p>
        </w:tc>
      </w:tr>
      <w:tr w:rsidR="006F646F" w:rsidRPr="00CB4950" w14:paraId="1873C71D"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0C7129F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2006</w:t>
            </w:r>
          </w:p>
        </w:tc>
        <w:tc>
          <w:tcPr>
            <w:tcW w:w="0" w:type="auto"/>
            <w:tcBorders>
              <w:top w:val="nil"/>
              <w:left w:val="nil"/>
              <w:bottom w:val="single" w:sz="8" w:space="0" w:color="auto"/>
              <w:right w:val="single" w:sz="8" w:space="0" w:color="auto"/>
            </w:tcBorders>
            <w:noWrap/>
            <w:vAlign w:val="center"/>
            <w:hideMark/>
          </w:tcPr>
          <w:p w14:paraId="6C64805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618,340</w:t>
            </w:r>
          </w:p>
        </w:tc>
        <w:tc>
          <w:tcPr>
            <w:tcW w:w="1814" w:type="dxa"/>
            <w:tcBorders>
              <w:top w:val="nil"/>
              <w:left w:val="nil"/>
              <w:bottom w:val="single" w:sz="8" w:space="0" w:color="auto"/>
              <w:right w:val="single" w:sz="8" w:space="0" w:color="auto"/>
            </w:tcBorders>
            <w:noWrap/>
            <w:vAlign w:val="center"/>
            <w:hideMark/>
          </w:tcPr>
          <w:p w14:paraId="669D452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662,448</w:t>
            </w:r>
          </w:p>
        </w:tc>
        <w:tc>
          <w:tcPr>
            <w:tcW w:w="1768" w:type="dxa"/>
            <w:tcBorders>
              <w:top w:val="nil"/>
              <w:left w:val="single" w:sz="8" w:space="0" w:color="auto"/>
              <w:bottom w:val="single" w:sz="8" w:space="0" w:color="auto"/>
              <w:right w:val="single" w:sz="8" w:space="0" w:color="auto"/>
            </w:tcBorders>
            <w:shd w:val="clear" w:color="000000" w:fill="D9D9D9"/>
          </w:tcPr>
          <w:p w14:paraId="3A71D8A2"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3C9089E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w:t>
            </w:r>
          </w:p>
        </w:tc>
        <w:tc>
          <w:tcPr>
            <w:tcW w:w="1650" w:type="dxa"/>
            <w:tcBorders>
              <w:top w:val="nil"/>
              <w:left w:val="nil"/>
              <w:bottom w:val="single" w:sz="8" w:space="0" w:color="auto"/>
              <w:right w:val="nil"/>
            </w:tcBorders>
            <w:shd w:val="clear" w:color="000000" w:fill="D9D9D9"/>
            <w:vAlign w:val="center"/>
          </w:tcPr>
          <w:p w14:paraId="1008497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781,094</w:t>
            </w:r>
          </w:p>
        </w:tc>
        <w:tc>
          <w:tcPr>
            <w:tcW w:w="1887" w:type="dxa"/>
            <w:tcBorders>
              <w:top w:val="nil"/>
              <w:left w:val="single" w:sz="4" w:space="0" w:color="auto"/>
              <w:bottom w:val="single" w:sz="4" w:space="0" w:color="auto"/>
              <w:right w:val="single" w:sz="4" w:space="0" w:color="auto"/>
            </w:tcBorders>
            <w:shd w:val="clear" w:color="000000" w:fill="D9D9D9"/>
          </w:tcPr>
          <w:p w14:paraId="28F6A06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29,135,051 </w:t>
            </w:r>
          </w:p>
        </w:tc>
      </w:tr>
      <w:tr w:rsidR="006F646F" w:rsidRPr="00CB4950" w14:paraId="2CBC246F"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2CAA728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2007</w:t>
            </w:r>
          </w:p>
        </w:tc>
        <w:tc>
          <w:tcPr>
            <w:tcW w:w="0" w:type="auto"/>
            <w:tcBorders>
              <w:top w:val="nil"/>
              <w:left w:val="nil"/>
              <w:bottom w:val="single" w:sz="8" w:space="0" w:color="auto"/>
              <w:right w:val="single" w:sz="8" w:space="0" w:color="auto"/>
            </w:tcBorders>
            <w:noWrap/>
            <w:vAlign w:val="center"/>
            <w:hideMark/>
          </w:tcPr>
          <w:p w14:paraId="21F7D04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546,996</w:t>
            </w:r>
          </w:p>
        </w:tc>
        <w:tc>
          <w:tcPr>
            <w:tcW w:w="1814" w:type="dxa"/>
            <w:tcBorders>
              <w:top w:val="nil"/>
              <w:left w:val="nil"/>
              <w:bottom w:val="single" w:sz="8" w:space="0" w:color="auto"/>
              <w:right w:val="single" w:sz="8" w:space="0" w:color="auto"/>
            </w:tcBorders>
            <w:noWrap/>
            <w:vAlign w:val="center"/>
            <w:hideMark/>
          </w:tcPr>
          <w:p w14:paraId="3AFEE31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675,697</w:t>
            </w:r>
          </w:p>
        </w:tc>
        <w:tc>
          <w:tcPr>
            <w:tcW w:w="1768" w:type="dxa"/>
            <w:tcBorders>
              <w:top w:val="nil"/>
              <w:left w:val="single" w:sz="8" w:space="0" w:color="auto"/>
              <w:bottom w:val="single" w:sz="8" w:space="0" w:color="auto"/>
              <w:right w:val="single" w:sz="8" w:space="0" w:color="auto"/>
            </w:tcBorders>
            <w:shd w:val="clear" w:color="000000" w:fill="D9D9D9"/>
          </w:tcPr>
          <w:p w14:paraId="5F5B4113"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4ADC4D9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w:t>
            </w:r>
          </w:p>
        </w:tc>
        <w:tc>
          <w:tcPr>
            <w:tcW w:w="1650" w:type="dxa"/>
            <w:tcBorders>
              <w:top w:val="nil"/>
              <w:left w:val="nil"/>
              <w:bottom w:val="single" w:sz="8" w:space="0" w:color="auto"/>
              <w:right w:val="nil"/>
            </w:tcBorders>
            <w:shd w:val="clear" w:color="000000" w:fill="D9D9D9"/>
            <w:vAlign w:val="center"/>
          </w:tcPr>
          <w:p w14:paraId="0098A17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683,746</w:t>
            </w:r>
          </w:p>
        </w:tc>
        <w:tc>
          <w:tcPr>
            <w:tcW w:w="1887" w:type="dxa"/>
            <w:tcBorders>
              <w:top w:val="nil"/>
              <w:left w:val="single" w:sz="4" w:space="0" w:color="auto"/>
              <w:bottom w:val="single" w:sz="4" w:space="0" w:color="auto"/>
              <w:right w:val="single" w:sz="4" w:space="0" w:color="auto"/>
            </w:tcBorders>
            <w:shd w:val="clear" w:color="000000" w:fill="D9D9D9"/>
          </w:tcPr>
          <w:p w14:paraId="7A76703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28,451,306 </w:t>
            </w:r>
          </w:p>
        </w:tc>
      </w:tr>
      <w:tr w:rsidR="006F646F" w:rsidRPr="00CB4950" w14:paraId="79C1D0B0"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48CE80B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2008</w:t>
            </w:r>
          </w:p>
        </w:tc>
        <w:tc>
          <w:tcPr>
            <w:tcW w:w="0" w:type="auto"/>
            <w:tcBorders>
              <w:top w:val="nil"/>
              <w:left w:val="nil"/>
              <w:bottom w:val="single" w:sz="8" w:space="0" w:color="auto"/>
              <w:right w:val="single" w:sz="8" w:space="0" w:color="auto"/>
            </w:tcBorders>
            <w:noWrap/>
            <w:vAlign w:val="center"/>
            <w:hideMark/>
          </w:tcPr>
          <w:p w14:paraId="352D479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528,396</w:t>
            </w:r>
          </w:p>
        </w:tc>
        <w:tc>
          <w:tcPr>
            <w:tcW w:w="1814" w:type="dxa"/>
            <w:tcBorders>
              <w:top w:val="nil"/>
              <w:left w:val="nil"/>
              <w:bottom w:val="single" w:sz="8" w:space="0" w:color="auto"/>
              <w:right w:val="single" w:sz="8" w:space="0" w:color="auto"/>
            </w:tcBorders>
            <w:noWrap/>
            <w:vAlign w:val="center"/>
            <w:hideMark/>
          </w:tcPr>
          <w:p w14:paraId="251F8A6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689,211</w:t>
            </w:r>
          </w:p>
        </w:tc>
        <w:tc>
          <w:tcPr>
            <w:tcW w:w="1768" w:type="dxa"/>
            <w:tcBorders>
              <w:top w:val="nil"/>
              <w:left w:val="single" w:sz="8" w:space="0" w:color="auto"/>
              <w:bottom w:val="single" w:sz="8" w:space="0" w:color="auto"/>
              <w:right w:val="single" w:sz="8" w:space="0" w:color="auto"/>
            </w:tcBorders>
            <w:shd w:val="clear" w:color="000000" w:fill="D9D9D9"/>
          </w:tcPr>
          <w:p w14:paraId="460C52A7"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61CB98F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w:t>
            </w:r>
          </w:p>
        </w:tc>
        <w:tc>
          <w:tcPr>
            <w:tcW w:w="1650" w:type="dxa"/>
            <w:tcBorders>
              <w:top w:val="nil"/>
              <w:left w:val="nil"/>
              <w:bottom w:val="single" w:sz="8" w:space="0" w:color="auto"/>
              <w:right w:val="nil"/>
            </w:tcBorders>
            <w:shd w:val="clear" w:color="000000" w:fill="D9D9D9"/>
            <w:vAlign w:val="center"/>
          </w:tcPr>
          <w:p w14:paraId="5AB86D2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660,494</w:t>
            </w:r>
          </w:p>
        </w:tc>
        <w:tc>
          <w:tcPr>
            <w:tcW w:w="1887" w:type="dxa"/>
            <w:tcBorders>
              <w:top w:val="nil"/>
              <w:left w:val="single" w:sz="4" w:space="0" w:color="auto"/>
              <w:bottom w:val="single" w:sz="4" w:space="0" w:color="auto"/>
              <w:right w:val="single" w:sz="4" w:space="0" w:color="auto"/>
            </w:tcBorders>
            <w:shd w:val="clear" w:color="000000" w:fill="D9D9D9"/>
          </w:tcPr>
          <w:p w14:paraId="70409C8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27,785,082 </w:t>
            </w:r>
          </w:p>
        </w:tc>
      </w:tr>
      <w:tr w:rsidR="006F646F" w:rsidRPr="00CB4950" w14:paraId="0DFB43E7"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1B6FF4A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2009</w:t>
            </w:r>
          </w:p>
        </w:tc>
        <w:tc>
          <w:tcPr>
            <w:tcW w:w="0" w:type="auto"/>
            <w:tcBorders>
              <w:top w:val="nil"/>
              <w:left w:val="nil"/>
              <w:bottom w:val="single" w:sz="8" w:space="0" w:color="auto"/>
              <w:right w:val="single" w:sz="8" w:space="0" w:color="auto"/>
            </w:tcBorders>
            <w:noWrap/>
            <w:vAlign w:val="center"/>
            <w:hideMark/>
          </w:tcPr>
          <w:p w14:paraId="3108DF1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519,058</w:t>
            </w:r>
          </w:p>
        </w:tc>
        <w:tc>
          <w:tcPr>
            <w:tcW w:w="1814" w:type="dxa"/>
            <w:tcBorders>
              <w:top w:val="nil"/>
              <w:left w:val="nil"/>
              <w:bottom w:val="single" w:sz="8" w:space="0" w:color="auto"/>
              <w:right w:val="single" w:sz="8" w:space="0" w:color="auto"/>
            </w:tcBorders>
            <w:noWrap/>
            <w:vAlign w:val="center"/>
            <w:hideMark/>
          </w:tcPr>
          <w:p w14:paraId="3C625E7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702,996</w:t>
            </w:r>
          </w:p>
        </w:tc>
        <w:tc>
          <w:tcPr>
            <w:tcW w:w="1768" w:type="dxa"/>
            <w:tcBorders>
              <w:top w:val="nil"/>
              <w:left w:val="single" w:sz="8" w:space="0" w:color="auto"/>
              <w:bottom w:val="single" w:sz="4" w:space="0" w:color="auto"/>
              <w:right w:val="single" w:sz="8" w:space="0" w:color="auto"/>
            </w:tcBorders>
            <w:shd w:val="clear" w:color="000000" w:fill="D9D9D9"/>
          </w:tcPr>
          <w:p w14:paraId="24CE425D"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4" w:space="0" w:color="auto"/>
              <w:right w:val="single" w:sz="8" w:space="0" w:color="auto"/>
            </w:tcBorders>
            <w:shd w:val="clear" w:color="000000" w:fill="D9D9D9"/>
            <w:vAlign w:val="center"/>
          </w:tcPr>
          <w:p w14:paraId="17D4A26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w:t>
            </w:r>
          </w:p>
        </w:tc>
        <w:tc>
          <w:tcPr>
            <w:tcW w:w="1650" w:type="dxa"/>
            <w:tcBorders>
              <w:top w:val="nil"/>
              <w:left w:val="nil"/>
              <w:bottom w:val="single" w:sz="4" w:space="0" w:color="auto"/>
              <w:right w:val="nil"/>
            </w:tcBorders>
            <w:shd w:val="clear" w:color="000000" w:fill="D9D9D9"/>
            <w:vAlign w:val="center"/>
          </w:tcPr>
          <w:p w14:paraId="53683C1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648,823</w:t>
            </w:r>
          </w:p>
        </w:tc>
        <w:tc>
          <w:tcPr>
            <w:tcW w:w="1887" w:type="dxa"/>
            <w:tcBorders>
              <w:top w:val="nil"/>
              <w:left w:val="single" w:sz="4" w:space="0" w:color="auto"/>
              <w:bottom w:val="single" w:sz="4" w:space="0" w:color="auto"/>
              <w:right w:val="single" w:sz="4" w:space="0" w:color="auto"/>
            </w:tcBorders>
            <w:shd w:val="clear" w:color="000000" w:fill="D9D9D9"/>
          </w:tcPr>
          <w:p w14:paraId="60D607E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27,136,259 </w:t>
            </w:r>
          </w:p>
        </w:tc>
      </w:tr>
      <w:tr w:rsidR="006F646F" w:rsidRPr="00CB4950" w14:paraId="53D5147F"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7B68B3D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2010</w:t>
            </w:r>
          </w:p>
        </w:tc>
        <w:tc>
          <w:tcPr>
            <w:tcW w:w="0" w:type="auto"/>
            <w:tcBorders>
              <w:top w:val="nil"/>
              <w:left w:val="nil"/>
              <w:bottom w:val="single" w:sz="8" w:space="0" w:color="auto"/>
              <w:right w:val="single" w:sz="8" w:space="0" w:color="auto"/>
            </w:tcBorders>
            <w:noWrap/>
            <w:vAlign w:val="center"/>
            <w:hideMark/>
          </w:tcPr>
          <w:p w14:paraId="7AC8C89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458,590</w:t>
            </w:r>
          </w:p>
        </w:tc>
        <w:tc>
          <w:tcPr>
            <w:tcW w:w="1814" w:type="dxa"/>
            <w:tcBorders>
              <w:top w:val="nil"/>
              <w:left w:val="nil"/>
              <w:bottom w:val="single" w:sz="8" w:space="0" w:color="auto"/>
              <w:right w:val="single" w:sz="8" w:space="0" w:color="auto"/>
            </w:tcBorders>
            <w:noWrap/>
            <w:vAlign w:val="center"/>
            <w:hideMark/>
          </w:tcPr>
          <w:p w14:paraId="03C39E8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717,056</w:t>
            </w:r>
          </w:p>
        </w:tc>
        <w:tc>
          <w:tcPr>
            <w:tcW w:w="1768" w:type="dxa"/>
            <w:tcBorders>
              <w:top w:val="nil"/>
              <w:left w:val="single" w:sz="8" w:space="0" w:color="auto"/>
              <w:bottom w:val="single" w:sz="8" w:space="0" w:color="auto"/>
              <w:right w:val="single" w:sz="8" w:space="0" w:color="auto"/>
            </w:tcBorders>
            <w:shd w:val="clear" w:color="000000" w:fill="D9D9D9"/>
          </w:tcPr>
          <w:p w14:paraId="02A53C8C"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18106D6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0.892</w:t>
            </w:r>
          </w:p>
        </w:tc>
        <w:tc>
          <w:tcPr>
            <w:tcW w:w="1650" w:type="dxa"/>
            <w:tcBorders>
              <w:top w:val="nil"/>
              <w:left w:val="nil"/>
              <w:bottom w:val="single" w:sz="8" w:space="0" w:color="auto"/>
              <w:right w:val="single" w:sz="8" w:space="0" w:color="auto"/>
            </w:tcBorders>
            <w:shd w:val="clear" w:color="000000" w:fill="D9D9D9"/>
            <w:vAlign w:val="center"/>
          </w:tcPr>
          <w:p w14:paraId="4940BD4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514,111</w:t>
            </w:r>
          </w:p>
        </w:tc>
        <w:tc>
          <w:tcPr>
            <w:tcW w:w="1887" w:type="dxa"/>
            <w:tcBorders>
              <w:top w:val="nil"/>
              <w:left w:val="nil"/>
              <w:bottom w:val="single" w:sz="8" w:space="0" w:color="auto"/>
              <w:right w:val="single" w:sz="8" w:space="0" w:color="auto"/>
            </w:tcBorders>
            <w:shd w:val="clear" w:color="000000" w:fill="D9D9D9"/>
          </w:tcPr>
          <w:p w14:paraId="53AAA05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 xml:space="preserve">           27,382,241 </w:t>
            </w:r>
          </w:p>
        </w:tc>
      </w:tr>
      <w:tr w:rsidR="006F646F" w:rsidRPr="00CB4950" w14:paraId="2C38EFBC"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30803A8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2011</w:t>
            </w:r>
          </w:p>
        </w:tc>
        <w:tc>
          <w:tcPr>
            <w:tcW w:w="0" w:type="auto"/>
            <w:tcBorders>
              <w:top w:val="nil"/>
              <w:left w:val="nil"/>
              <w:bottom w:val="single" w:sz="8" w:space="0" w:color="auto"/>
              <w:right w:val="single" w:sz="8" w:space="0" w:color="auto"/>
            </w:tcBorders>
            <w:noWrap/>
            <w:vAlign w:val="center"/>
            <w:hideMark/>
          </w:tcPr>
          <w:p w14:paraId="4251560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482,951</w:t>
            </w:r>
          </w:p>
        </w:tc>
        <w:tc>
          <w:tcPr>
            <w:tcW w:w="1814" w:type="dxa"/>
            <w:tcBorders>
              <w:top w:val="nil"/>
              <w:left w:val="nil"/>
              <w:bottom w:val="single" w:sz="8" w:space="0" w:color="auto"/>
              <w:right w:val="single" w:sz="8" w:space="0" w:color="auto"/>
            </w:tcBorders>
            <w:noWrap/>
            <w:vAlign w:val="center"/>
            <w:hideMark/>
          </w:tcPr>
          <w:p w14:paraId="455F463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731,397</w:t>
            </w:r>
          </w:p>
        </w:tc>
        <w:tc>
          <w:tcPr>
            <w:tcW w:w="1768" w:type="dxa"/>
            <w:tcBorders>
              <w:top w:val="nil"/>
              <w:left w:val="single" w:sz="8" w:space="0" w:color="auto"/>
              <w:bottom w:val="single" w:sz="8" w:space="0" w:color="auto"/>
              <w:right w:val="single" w:sz="8" w:space="0" w:color="auto"/>
            </w:tcBorders>
            <w:shd w:val="clear" w:color="000000" w:fill="D9D9D9"/>
          </w:tcPr>
          <w:p w14:paraId="7315210A"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0CA168E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1.0375</w:t>
            </w:r>
          </w:p>
        </w:tc>
        <w:tc>
          <w:tcPr>
            <w:tcW w:w="1650" w:type="dxa"/>
            <w:tcBorders>
              <w:top w:val="nil"/>
              <w:left w:val="nil"/>
              <w:bottom w:val="single" w:sz="8" w:space="0" w:color="auto"/>
              <w:right w:val="single" w:sz="8" w:space="0" w:color="auto"/>
            </w:tcBorders>
            <w:shd w:val="clear" w:color="000000" w:fill="D9D9D9"/>
            <w:vAlign w:val="center"/>
          </w:tcPr>
          <w:p w14:paraId="274251E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465,495</w:t>
            </w:r>
          </w:p>
        </w:tc>
        <w:tc>
          <w:tcPr>
            <w:tcW w:w="1887" w:type="dxa"/>
            <w:tcBorders>
              <w:top w:val="nil"/>
              <w:left w:val="nil"/>
              <w:bottom w:val="single" w:sz="8" w:space="0" w:color="auto"/>
              <w:right w:val="single" w:sz="8" w:space="0" w:color="auto"/>
            </w:tcBorders>
            <w:shd w:val="clear" w:color="000000" w:fill="D9D9D9"/>
            <w:vAlign w:val="center"/>
          </w:tcPr>
          <w:p w14:paraId="364C67D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24,807,718</w:t>
            </w:r>
          </w:p>
        </w:tc>
      </w:tr>
      <w:tr w:rsidR="006F646F" w:rsidRPr="00CB4950" w14:paraId="71119AC3"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1F51DB7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2012</w:t>
            </w:r>
          </w:p>
        </w:tc>
        <w:tc>
          <w:tcPr>
            <w:tcW w:w="0" w:type="auto"/>
            <w:tcBorders>
              <w:top w:val="nil"/>
              <w:left w:val="nil"/>
              <w:bottom w:val="single" w:sz="8" w:space="0" w:color="auto"/>
              <w:right w:val="single" w:sz="8" w:space="0" w:color="auto"/>
            </w:tcBorders>
            <w:noWrap/>
            <w:vAlign w:val="center"/>
            <w:hideMark/>
          </w:tcPr>
          <w:p w14:paraId="225D016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473,550</w:t>
            </w:r>
          </w:p>
        </w:tc>
        <w:tc>
          <w:tcPr>
            <w:tcW w:w="1814" w:type="dxa"/>
            <w:tcBorders>
              <w:top w:val="nil"/>
              <w:left w:val="nil"/>
              <w:bottom w:val="single" w:sz="8" w:space="0" w:color="auto"/>
              <w:right w:val="single" w:sz="8" w:space="0" w:color="auto"/>
            </w:tcBorders>
            <w:noWrap/>
            <w:vAlign w:val="center"/>
            <w:hideMark/>
          </w:tcPr>
          <w:p w14:paraId="650AB2F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746,025</w:t>
            </w:r>
          </w:p>
        </w:tc>
        <w:tc>
          <w:tcPr>
            <w:tcW w:w="1768" w:type="dxa"/>
            <w:tcBorders>
              <w:top w:val="nil"/>
              <w:left w:val="single" w:sz="8" w:space="0" w:color="auto"/>
              <w:bottom w:val="single" w:sz="8" w:space="0" w:color="auto"/>
              <w:right w:val="single" w:sz="8" w:space="0" w:color="auto"/>
            </w:tcBorders>
            <w:shd w:val="clear" w:color="000000" w:fill="D9D9D9"/>
          </w:tcPr>
          <w:p w14:paraId="66808791"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6BDDBDB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0.83</w:t>
            </w:r>
          </w:p>
        </w:tc>
        <w:tc>
          <w:tcPr>
            <w:tcW w:w="1650" w:type="dxa"/>
            <w:tcBorders>
              <w:top w:val="nil"/>
              <w:left w:val="nil"/>
              <w:bottom w:val="single" w:sz="8" w:space="0" w:color="auto"/>
              <w:right w:val="single" w:sz="8" w:space="0" w:color="auto"/>
            </w:tcBorders>
            <w:shd w:val="clear" w:color="000000" w:fill="D9D9D9"/>
            <w:vAlign w:val="center"/>
          </w:tcPr>
          <w:p w14:paraId="34C3C88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572,825</w:t>
            </w:r>
          </w:p>
        </w:tc>
        <w:tc>
          <w:tcPr>
            <w:tcW w:w="1887" w:type="dxa"/>
            <w:tcBorders>
              <w:top w:val="nil"/>
              <w:left w:val="nil"/>
              <w:bottom w:val="single" w:sz="8" w:space="0" w:color="auto"/>
              <w:right w:val="single" w:sz="8" w:space="0" w:color="auto"/>
            </w:tcBorders>
            <w:shd w:val="clear" w:color="000000" w:fill="D9D9D9"/>
            <w:vAlign w:val="center"/>
          </w:tcPr>
          <w:p w14:paraId="55EFF18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23,741,843</w:t>
            </w:r>
          </w:p>
        </w:tc>
      </w:tr>
      <w:tr w:rsidR="006F646F" w:rsidRPr="00CB4950" w14:paraId="00E5BCEC"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4B6B190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2013</w:t>
            </w:r>
          </w:p>
        </w:tc>
        <w:tc>
          <w:tcPr>
            <w:tcW w:w="0" w:type="auto"/>
            <w:tcBorders>
              <w:top w:val="nil"/>
              <w:left w:val="nil"/>
              <w:bottom w:val="single" w:sz="8" w:space="0" w:color="auto"/>
              <w:right w:val="single" w:sz="8" w:space="0" w:color="auto"/>
            </w:tcBorders>
            <w:noWrap/>
            <w:vAlign w:val="center"/>
            <w:hideMark/>
          </w:tcPr>
          <w:p w14:paraId="66AD35C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479,160</w:t>
            </w:r>
          </w:p>
        </w:tc>
        <w:tc>
          <w:tcPr>
            <w:tcW w:w="1814" w:type="dxa"/>
            <w:tcBorders>
              <w:top w:val="nil"/>
              <w:left w:val="nil"/>
              <w:bottom w:val="single" w:sz="8" w:space="0" w:color="auto"/>
              <w:right w:val="single" w:sz="8" w:space="0" w:color="auto"/>
            </w:tcBorders>
            <w:noWrap/>
            <w:vAlign w:val="center"/>
            <w:hideMark/>
          </w:tcPr>
          <w:p w14:paraId="1DF511A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760,945</w:t>
            </w:r>
          </w:p>
        </w:tc>
        <w:tc>
          <w:tcPr>
            <w:tcW w:w="1768" w:type="dxa"/>
            <w:tcBorders>
              <w:top w:val="nil"/>
              <w:left w:val="single" w:sz="8" w:space="0" w:color="auto"/>
              <w:bottom w:val="single" w:sz="8" w:space="0" w:color="auto"/>
              <w:right w:val="single" w:sz="8" w:space="0" w:color="auto"/>
            </w:tcBorders>
            <w:shd w:val="clear" w:color="000000" w:fill="D9D9D9"/>
          </w:tcPr>
          <w:p w14:paraId="5DB1E40A"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0C86475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0.92</w:t>
            </w:r>
          </w:p>
        </w:tc>
        <w:tc>
          <w:tcPr>
            <w:tcW w:w="1650" w:type="dxa"/>
            <w:tcBorders>
              <w:top w:val="nil"/>
              <w:left w:val="nil"/>
              <w:bottom w:val="single" w:sz="8" w:space="0" w:color="auto"/>
              <w:right w:val="single" w:sz="8" w:space="0" w:color="auto"/>
            </w:tcBorders>
            <w:shd w:val="clear" w:color="000000" w:fill="D9D9D9"/>
            <w:vAlign w:val="center"/>
          </w:tcPr>
          <w:p w14:paraId="166B000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523,100</w:t>
            </w:r>
          </w:p>
        </w:tc>
        <w:tc>
          <w:tcPr>
            <w:tcW w:w="1887" w:type="dxa"/>
            <w:tcBorders>
              <w:top w:val="nil"/>
              <w:left w:val="nil"/>
              <w:bottom w:val="single" w:sz="8" w:space="0" w:color="auto"/>
              <w:right w:val="single" w:sz="8" w:space="0" w:color="auto"/>
            </w:tcBorders>
            <w:shd w:val="clear" w:color="000000" w:fill="D9D9D9"/>
            <w:vAlign w:val="center"/>
          </w:tcPr>
          <w:p w14:paraId="21EC4A2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24,458,567</w:t>
            </w:r>
          </w:p>
        </w:tc>
      </w:tr>
      <w:tr w:rsidR="006F646F" w:rsidRPr="00CB4950" w14:paraId="071CCD69"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088D5BC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2014</w:t>
            </w:r>
          </w:p>
        </w:tc>
        <w:tc>
          <w:tcPr>
            <w:tcW w:w="0" w:type="auto"/>
            <w:tcBorders>
              <w:top w:val="nil"/>
              <w:left w:val="nil"/>
              <w:bottom w:val="single" w:sz="8" w:space="0" w:color="auto"/>
              <w:right w:val="single" w:sz="8" w:space="0" w:color="auto"/>
            </w:tcBorders>
            <w:noWrap/>
            <w:vAlign w:val="center"/>
            <w:hideMark/>
          </w:tcPr>
          <w:p w14:paraId="320714C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499,687</w:t>
            </w:r>
          </w:p>
        </w:tc>
        <w:tc>
          <w:tcPr>
            <w:tcW w:w="1814" w:type="dxa"/>
            <w:tcBorders>
              <w:top w:val="nil"/>
              <w:left w:val="nil"/>
              <w:bottom w:val="single" w:sz="8" w:space="0" w:color="auto"/>
              <w:right w:val="single" w:sz="8" w:space="0" w:color="auto"/>
            </w:tcBorders>
            <w:noWrap/>
            <w:vAlign w:val="center"/>
            <w:hideMark/>
          </w:tcPr>
          <w:p w14:paraId="54B3C9D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776,164</w:t>
            </w:r>
          </w:p>
        </w:tc>
        <w:tc>
          <w:tcPr>
            <w:tcW w:w="1768" w:type="dxa"/>
            <w:tcBorders>
              <w:top w:val="nil"/>
              <w:left w:val="single" w:sz="8" w:space="0" w:color="auto"/>
              <w:bottom w:val="single" w:sz="8" w:space="0" w:color="auto"/>
              <w:right w:val="single" w:sz="8" w:space="0" w:color="auto"/>
            </w:tcBorders>
            <w:shd w:val="clear" w:color="000000" w:fill="D9D9D9"/>
          </w:tcPr>
          <w:p w14:paraId="105385F4"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6F46A40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0.92</w:t>
            </w:r>
          </w:p>
        </w:tc>
        <w:tc>
          <w:tcPr>
            <w:tcW w:w="1650" w:type="dxa"/>
            <w:tcBorders>
              <w:top w:val="nil"/>
              <w:left w:val="nil"/>
              <w:bottom w:val="single" w:sz="8" w:space="0" w:color="auto"/>
              <w:right w:val="single" w:sz="8" w:space="0" w:color="auto"/>
            </w:tcBorders>
            <w:shd w:val="clear" w:color="000000" w:fill="D9D9D9"/>
            <w:vAlign w:val="center"/>
          </w:tcPr>
          <w:p w14:paraId="040F77D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545,510</w:t>
            </w:r>
          </w:p>
        </w:tc>
        <w:tc>
          <w:tcPr>
            <w:tcW w:w="1887" w:type="dxa"/>
            <w:tcBorders>
              <w:top w:val="nil"/>
              <w:left w:val="nil"/>
              <w:bottom w:val="single" w:sz="8" w:space="0" w:color="auto"/>
              <w:right w:val="single" w:sz="8" w:space="0" w:color="auto"/>
            </w:tcBorders>
            <w:shd w:val="clear" w:color="000000" w:fill="D9D9D9"/>
            <w:vAlign w:val="center"/>
          </w:tcPr>
          <w:p w14:paraId="607517B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23,839,138</w:t>
            </w:r>
          </w:p>
        </w:tc>
      </w:tr>
      <w:tr w:rsidR="006F646F" w:rsidRPr="00CB4950" w14:paraId="7A1B2AC1"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7700F28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2015</w:t>
            </w:r>
          </w:p>
        </w:tc>
        <w:tc>
          <w:tcPr>
            <w:tcW w:w="0" w:type="auto"/>
            <w:tcBorders>
              <w:top w:val="nil"/>
              <w:left w:val="nil"/>
              <w:bottom w:val="single" w:sz="8" w:space="0" w:color="auto"/>
              <w:right w:val="single" w:sz="8" w:space="0" w:color="auto"/>
            </w:tcBorders>
            <w:noWrap/>
            <w:vAlign w:val="center"/>
            <w:hideMark/>
          </w:tcPr>
          <w:p w14:paraId="7A645C5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530,971</w:t>
            </w:r>
          </w:p>
        </w:tc>
        <w:tc>
          <w:tcPr>
            <w:tcW w:w="1814" w:type="dxa"/>
            <w:tcBorders>
              <w:top w:val="nil"/>
              <w:left w:val="nil"/>
              <w:bottom w:val="single" w:sz="8" w:space="0" w:color="auto"/>
              <w:right w:val="single" w:sz="8" w:space="0" w:color="auto"/>
            </w:tcBorders>
            <w:noWrap/>
            <w:vAlign w:val="center"/>
            <w:hideMark/>
          </w:tcPr>
          <w:p w14:paraId="77382E6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791,687</w:t>
            </w:r>
          </w:p>
        </w:tc>
        <w:tc>
          <w:tcPr>
            <w:tcW w:w="1768" w:type="dxa"/>
            <w:tcBorders>
              <w:top w:val="nil"/>
              <w:left w:val="single" w:sz="8" w:space="0" w:color="auto"/>
              <w:bottom w:val="single" w:sz="8" w:space="0" w:color="auto"/>
              <w:right w:val="single" w:sz="8" w:space="0" w:color="auto"/>
            </w:tcBorders>
            <w:shd w:val="clear" w:color="000000" w:fill="D9D9D9"/>
          </w:tcPr>
          <w:p w14:paraId="415A194A"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3888F1F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0.89</w:t>
            </w:r>
          </w:p>
        </w:tc>
        <w:tc>
          <w:tcPr>
            <w:tcW w:w="1650" w:type="dxa"/>
            <w:tcBorders>
              <w:top w:val="nil"/>
              <w:left w:val="nil"/>
              <w:bottom w:val="single" w:sz="8" w:space="0" w:color="auto"/>
              <w:right w:val="single" w:sz="8" w:space="0" w:color="auto"/>
            </w:tcBorders>
            <w:shd w:val="clear" w:color="000000" w:fill="D9D9D9"/>
            <w:vAlign w:val="center"/>
          </w:tcPr>
          <w:p w14:paraId="78B67E0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595,593</w:t>
            </w:r>
          </w:p>
        </w:tc>
        <w:tc>
          <w:tcPr>
            <w:tcW w:w="1887" w:type="dxa"/>
            <w:tcBorders>
              <w:top w:val="nil"/>
              <w:left w:val="nil"/>
              <w:bottom w:val="single" w:sz="8" w:space="0" w:color="auto"/>
              <w:right w:val="single" w:sz="8" w:space="0" w:color="auto"/>
            </w:tcBorders>
            <w:shd w:val="clear" w:color="000000" w:fill="D9D9D9"/>
            <w:vAlign w:val="center"/>
          </w:tcPr>
          <w:p w14:paraId="0C0D6CF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23,839,138</w:t>
            </w:r>
          </w:p>
        </w:tc>
      </w:tr>
      <w:tr w:rsidR="006F646F" w:rsidRPr="00CB4950" w14:paraId="01F73FAE"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7F44302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2016</w:t>
            </w:r>
          </w:p>
        </w:tc>
        <w:tc>
          <w:tcPr>
            <w:tcW w:w="0" w:type="auto"/>
            <w:tcBorders>
              <w:top w:val="nil"/>
              <w:left w:val="nil"/>
              <w:bottom w:val="single" w:sz="8" w:space="0" w:color="auto"/>
              <w:right w:val="single" w:sz="8" w:space="0" w:color="auto"/>
            </w:tcBorders>
            <w:noWrap/>
            <w:vAlign w:val="center"/>
            <w:hideMark/>
          </w:tcPr>
          <w:p w14:paraId="75F987D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552,979</w:t>
            </w:r>
          </w:p>
        </w:tc>
        <w:tc>
          <w:tcPr>
            <w:tcW w:w="1814" w:type="dxa"/>
            <w:tcBorders>
              <w:top w:val="nil"/>
              <w:left w:val="nil"/>
              <w:bottom w:val="single" w:sz="8" w:space="0" w:color="auto"/>
              <w:right w:val="single" w:sz="8" w:space="0" w:color="auto"/>
            </w:tcBorders>
            <w:noWrap/>
            <w:vAlign w:val="center"/>
            <w:hideMark/>
          </w:tcPr>
          <w:p w14:paraId="00DE0ED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807,521</w:t>
            </w:r>
          </w:p>
        </w:tc>
        <w:tc>
          <w:tcPr>
            <w:tcW w:w="1768" w:type="dxa"/>
            <w:tcBorders>
              <w:top w:val="nil"/>
              <w:left w:val="single" w:sz="8" w:space="0" w:color="auto"/>
              <w:bottom w:val="single" w:sz="8" w:space="0" w:color="auto"/>
              <w:right w:val="single" w:sz="8" w:space="0" w:color="auto"/>
            </w:tcBorders>
            <w:shd w:val="clear" w:color="000000" w:fill="D9D9D9"/>
          </w:tcPr>
          <w:p w14:paraId="61EB2032"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000000" w:fill="D9D9D9"/>
            <w:vAlign w:val="center"/>
          </w:tcPr>
          <w:p w14:paraId="143F07D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0.93</w:t>
            </w:r>
          </w:p>
        </w:tc>
        <w:tc>
          <w:tcPr>
            <w:tcW w:w="1650" w:type="dxa"/>
            <w:tcBorders>
              <w:top w:val="nil"/>
              <w:left w:val="nil"/>
              <w:bottom w:val="single" w:sz="8" w:space="0" w:color="auto"/>
              <w:right w:val="single" w:sz="8" w:space="0" w:color="auto"/>
            </w:tcBorders>
            <w:shd w:val="clear" w:color="000000" w:fill="D9D9D9"/>
            <w:vAlign w:val="center"/>
          </w:tcPr>
          <w:p w14:paraId="511BA03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592,689</w:t>
            </w:r>
          </w:p>
        </w:tc>
        <w:tc>
          <w:tcPr>
            <w:tcW w:w="1887" w:type="dxa"/>
            <w:tcBorders>
              <w:top w:val="nil"/>
              <w:left w:val="nil"/>
              <w:bottom w:val="single" w:sz="8" w:space="0" w:color="auto"/>
              <w:right w:val="single" w:sz="8" w:space="0" w:color="auto"/>
            </w:tcBorders>
            <w:shd w:val="clear" w:color="000000" w:fill="D9D9D9"/>
            <w:vAlign w:val="center"/>
          </w:tcPr>
          <w:p w14:paraId="2BDE15C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22453729</w:t>
            </w:r>
          </w:p>
        </w:tc>
      </w:tr>
      <w:tr w:rsidR="006F646F" w:rsidRPr="00CB4950" w14:paraId="7F96C987"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0552A06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2017</w:t>
            </w:r>
          </w:p>
        </w:tc>
        <w:tc>
          <w:tcPr>
            <w:tcW w:w="0" w:type="auto"/>
            <w:tcBorders>
              <w:top w:val="nil"/>
              <w:left w:val="nil"/>
              <w:bottom w:val="single" w:sz="8" w:space="0" w:color="auto"/>
              <w:right w:val="single" w:sz="8" w:space="0" w:color="auto"/>
            </w:tcBorders>
            <w:noWrap/>
            <w:vAlign w:val="center"/>
            <w:hideMark/>
          </w:tcPr>
          <w:p w14:paraId="4DE026A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941,430</w:t>
            </w:r>
          </w:p>
        </w:tc>
        <w:tc>
          <w:tcPr>
            <w:tcW w:w="1814" w:type="dxa"/>
            <w:tcBorders>
              <w:top w:val="nil"/>
              <w:left w:val="nil"/>
              <w:bottom w:val="single" w:sz="8" w:space="0" w:color="auto"/>
              <w:right w:val="single" w:sz="8" w:space="0" w:color="auto"/>
            </w:tcBorders>
            <w:noWrap/>
            <w:vAlign w:val="center"/>
            <w:hideMark/>
          </w:tcPr>
          <w:p w14:paraId="2B37849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823,671</w:t>
            </w:r>
          </w:p>
        </w:tc>
        <w:tc>
          <w:tcPr>
            <w:tcW w:w="1768" w:type="dxa"/>
            <w:tcBorders>
              <w:top w:val="nil"/>
              <w:left w:val="single" w:sz="8" w:space="0" w:color="auto"/>
              <w:bottom w:val="single" w:sz="8" w:space="0" w:color="auto"/>
              <w:right w:val="single" w:sz="8" w:space="0" w:color="auto"/>
            </w:tcBorders>
            <w:shd w:val="clear" w:color="000000" w:fill="D9D9D9"/>
            <w:vAlign w:val="center"/>
          </w:tcPr>
          <w:p w14:paraId="0BE74F2F"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Times New Roman" w:hAnsi="Calibri" w:cs="Calibri"/>
                <w:color w:val="000000"/>
                <w:sz w:val="24"/>
                <w:szCs w:val="24"/>
              </w:rPr>
              <w:t>117,759</w:t>
            </w:r>
          </w:p>
        </w:tc>
        <w:tc>
          <w:tcPr>
            <w:tcW w:w="0" w:type="auto"/>
            <w:tcBorders>
              <w:top w:val="nil"/>
              <w:left w:val="single" w:sz="8" w:space="0" w:color="auto"/>
              <w:bottom w:val="single" w:sz="8" w:space="0" w:color="auto"/>
              <w:right w:val="single" w:sz="8" w:space="0" w:color="auto"/>
            </w:tcBorders>
            <w:shd w:val="clear" w:color="000000" w:fill="D9D9D9"/>
            <w:vAlign w:val="center"/>
          </w:tcPr>
          <w:p w14:paraId="43D570E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0.97</w:t>
            </w:r>
          </w:p>
        </w:tc>
        <w:tc>
          <w:tcPr>
            <w:tcW w:w="1650" w:type="dxa"/>
            <w:tcBorders>
              <w:top w:val="nil"/>
              <w:left w:val="nil"/>
              <w:bottom w:val="single" w:sz="8" w:space="0" w:color="auto"/>
              <w:right w:val="single" w:sz="8" w:space="0" w:color="auto"/>
            </w:tcBorders>
            <w:shd w:val="clear" w:color="000000" w:fill="D9D9D9"/>
            <w:vAlign w:val="center"/>
          </w:tcPr>
          <w:p w14:paraId="6E58210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969,048</w:t>
            </w:r>
          </w:p>
        </w:tc>
        <w:tc>
          <w:tcPr>
            <w:tcW w:w="1887" w:type="dxa"/>
            <w:tcBorders>
              <w:top w:val="nil"/>
              <w:left w:val="nil"/>
              <w:bottom w:val="single" w:sz="8" w:space="0" w:color="auto"/>
              <w:right w:val="single" w:sz="8" w:space="0" w:color="auto"/>
            </w:tcBorders>
            <w:shd w:val="clear" w:color="000000" w:fill="D9D9D9"/>
            <w:vAlign w:val="center"/>
          </w:tcPr>
          <w:p w14:paraId="45F9149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21,727,371</w:t>
            </w:r>
          </w:p>
        </w:tc>
      </w:tr>
      <w:tr w:rsidR="006F646F" w:rsidRPr="00CB4950" w14:paraId="2212482F"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56BE2B7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2018</w:t>
            </w:r>
          </w:p>
        </w:tc>
        <w:tc>
          <w:tcPr>
            <w:tcW w:w="0" w:type="auto"/>
            <w:tcBorders>
              <w:top w:val="nil"/>
              <w:left w:val="nil"/>
              <w:bottom w:val="single" w:sz="8" w:space="0" w:color="auto"/>
              <w:right w:val="single" w:sz="8" w:space="0" w:color="auto"/>
            </w:tcBorders>
            <w:noWrap/>
            <w:vAlign w:val="center"/>
            <w:hideMark/>
          </w:tcPr>
          <w:p w14:paraId="5897468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1,010,879</w:t>
            </w:r>
          </w:p>
        </w:tc>
        <w:tc>
          <w:tcPr>
            <w:tcW w:w="1814" w:type="dxa"/>
            <w:tcBorders>
              <w:top w:val="nil"/>
              <w:left w:val="nil"/>
              <w:bottom w:val="single" w:sz="8" w:space="0" w:color="auto"/>
              <w:right w:val="single" w:sz="8" w:space="0" w:color="auto"/>
            </w:tcBorders>
            <w:noWrap/>
            <w:vAlign w:val="center"/>
            <w:hideMark/>
          </w:tcPr>
          <w:p w14:paraId="3E79AD5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840,145</w:t>
            </w:r>
          </w:p>
        </w:tc>
        <w:tc>
          <w:tcPr>
            <w:tcW w:w="1768" w:type="dxa"/>
            <w:tcBorders>
              <w:top w:val="nil"/>
              <w:left w:val="single" w:sz="8" w:space="0" w:color="auto"/>
              <w:bottom w:val="single" w:sz="8" w:space="0" w:color="auto"/>
              <w:right w:val="single" w:sz="8" w:space="0" w:color="auto"/>
            </w:tcBorders>
            <w:shd w:val="clear" w:color="000000" w:fill="D9D9D9"/>
            <w:vAlign w:val="center"/>
          </w:tcPr>
          <w:p w14:paraId="5CFCC07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Times New Roman" w:hAnsi="Calibri" w:cs="Calibri"/>
                <w:color w:val="000000"/>
                <w:sz w:val="24"/>
                <w:szCs w:val="24"/>
              </w:rPr>
              <w:t>170,734</w:t>
            </w:r>
          </w:p>
        </w:tc>
        <w:tc>
          <w:tcPr>
            <w:tcW w:w="0" w:type="auto"/>
            <w:tcBorders>
              <w:top w:val="nil"/>
              <w:left w:val="single" w:sz="8" w:space="0" w:color="auto"/>
              <w:bottom w:val="single" w:sz="8" w:space="0" w:color="auto"/>
              <w:right w:val="single" w:sz="8" w:space="0" w:color="auto"/>
            </w:tcBorders>
            <w:shd w:val="clear" w:color="000000" w:fill="D9D9D9"/>
            <w:vAlign w:val="center"/>
          </w:tcPr>
          <w:p w14:paraId="676FB25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0.99</w:t>
            </w:r>
          </w:p>
        </w:tc>
        <w:tc>
          <w:tcPr>
            <w:tcW w:w="1650" w:type="dxa"/>
            <w:tcBorders>
              <w:top w:val="nil"/>
              <w:left w:val="nil"/>
              <w:bottom w:val="single" w:sz="8" w:space="0" w:color="auto"/>
              <w:right w:val="single" w:sz="8" w:space="0" w:color="auto"/>
            </w:tcBorders>
            <w:shd w:val="clear" w:color="000000" w:fill="D9D9D9"/>
            <w:vAlign w:val="center"/>
          </w:tcPr>
          <w:p w14:paraId="4318FCF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1,021,090</w:t>
            </w:r>
          </w:p>
        </w:tc>
        <w:tc>
          <w:tcPr>
            <w:tcW w:w="1887" w:type="dxa"/>
            <w:tcBorders>
              <w:top w:val="nil"/>
              <w:left w:val="nil"/>
              <w:bottom w:val="single" w:sz="8" w:space="0" w:color="auto"/>
              <w:right w:val="single" w:sz="8" w:space="0" w:color="auto"/>
            </w:tcBorders>
            <w:shd w:val="clear" w:color="000000" w:fill="D9D9D9"/>
            <w:vAlign w:val="center"/>
          </w:tcPr>
          <w:p w14:paraId="30AE196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18,015,098</w:t>
            </w:r>
          </w:p>
        </w:tc>
      </w:tr>
      <w:tr w:rsidR="006F646F" w:rsidRPr="00CB4950" w14:paraId="625B30C0"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326807E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2019</w:t>
            </w:r>
          </w:p>
        </w:tc>
        <w:tc>
          <w:tcPr>
            <w:tcW w:w="0" w:type="auto"/>
            <w:tcBorders>
              <w:top w:val="nil"/>
              <w:left w:val="nil"/>
              <w:bottom w:val="single" w:sz="8" w:space="0" w:color="auto"/>
              <w:right w:val="single" w:sz="8" w:space="0" w:color="auto"/>
            </w:tcBorders>
            <w:noWrap/>
            <w:vAlign w:val="center"/>
            <w:hideMark/>
          </w:tcPr>
          <w:p w14:paraId="5C03A75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1,034,934</w:t>
            </w:r>
          </w:p>
        </w:tc>
        <w:tc>
          <w:tcPr>
            <w:tcW w:w="1814" w:type="dxa"/>
            <w:tcBorders>
              <w:top w:val="nil"/>
              <w:left w:val="nil"/>
              <w:bottom w:val="single" w:sz="8" w:space="0" w:color="auto"/>
              <w:right w:val="single" w:sz="8" w:space="0" w:color="auto"/>
            </w:tcBorders>
            <w:noWrap/>
            <w:vAlign w:val="center"/>
            <w:hideMark/>
          </w:tcPr>
          <w:p w14:paraId="1337BBEE"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856,948</w:t>
            </w:r>
          </w:p>
        </w:tc>
        <w:tc>
          <w:tcPr>
            <w:tcW w:w="1768" w:type="dxa"/>
            <w:tcBorders>
              <w:top w:val="nil"/>
              <w:left w:val="single" w:sz="8" w:space="0" w:color="auto"/>
              <w:bottom w:val="single" w:sz="8" w:space="0" w:color="auto"/>
              <w:right w:val="single" w:sz="8" w:space="0" w:color="auto"/>
            </w:tcBorders>
            <w:shd w:val="clear" w:color="000000" w:fill="D9D9D9"/>
            <w:vAlign w:val="center"/>
          </w:tcPr>
          <w:p w14:paraId="5C314E9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Times New Roman" w:hAnsi="Calibri" w:cs="Calibri"/>
                <w:color w:val="000000"/>
                <w:sz w:val="24"/>
                <w:szCs w:val="24"/>
              </w:rPr>
              <w:t>177,986</w:t>
            </w:r>
          </w:p>
        </w:tc>
        <w:tc>
          <w:tcPr>
            <w:tcW w:w="0" w:type="auto"/>
            <w:tcBorders>
              <w:top w:val="nil"/>
              <w:left w:val="single" w:sz="8" w:space="0" w:color="auto"/>
              <w:bottom w:val="single" w:sz="8" w:space="0" w:color="auto"/>
              <w:right w:val="single" w:sz="8" w:space="0" w:color="auto"/>
            </w:tcBorders>
            <w:shd w:val="clear" w:color="000000" w:fill="D9D9D9"/>
            <w:vAlign w:val="center"/>
          </w:tcPr>
          <w:p w14:paraId="6AA0A20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0.8</w:t>
            </w:r>
          </w:p>
        </w:tc>
        <w:tc>
          <w:tcPr>
            <w:tcW w:w="1650" w:type="dxa"/>
            <w:tcBorders>
              <w:top w:val="nil"/>
              <w:left w:val="nil"/>
              <w:bottom w:val="single" w:sz="8" w:space="0" w:color="auto"/>
              <w:right w:val="single" w:sz="8" w:space="0" w:color="auto"/>
            </w:tcBorders>
            <w:shd w:val="clear" w:color="000000" w:fill="D9D9D9"/>
            <w:vAlign w:val="center"/>
          </w:tcPr>
          <w:p w14:paraId="2F743EE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1,293,668</w:t>
            </w:r>
          </w:p>
        </w:tc>
        <w:tc>
          <w:tcPr>
            <w:tcW w:w="1887" w:type="dxa"/>
            <w:tcBorders>
              <w:top w:val="nil"/>
              <w:left w:val="nil"/>
              <w:bottom w:val="single" w:sz="8" w:space="0" w:color="auto"/>
              <w:right w:val="single" w:sz="8" w:space="0" w:color="auto"/>
            </w:tcBorders>
            <w:shd w:val="clear" w:color="000000" w:fill="D9D9D9"/>
            <w:vAlign w:val="center"/>
          </w:tcPr>
          <w:p w14:paraId="199E20C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18,352,257</w:t>
            </w:r>
          </w:p>
        </w:tc>
      </w:tr>
      <w:tr w:rsidR="006F646F" w:rsidRPr="00CB4950" w14:paraId="5706BE9F" w14:textId="77777777" w:rsidTr="00CD02A5">
        <w:trPr>
          <w:trHeight w:val="300"/>
        </w:trPr>
        <w:tc>
          <w:tcPr>
            <w:tcW w:w="0" w:type="auto"/>
            <w:tcBorders>
              <w:top w:val="nil"/>
              <w:left w:val="single" w:sz="8" w:space="0" w:color="auto"/>
              <w:bottom w:val="single" w:sz="8" w:space="0" w:color="auto"/>
              <w:right w:val="single" w:sz="8" w:space="0" w:color="auto"/>
            </w:tcBorders>
            <w:noWrap/>
            <w:vAlign w:val="center"/>
            <w:hideMark/>
          </w:tcPr>
          <w:p w14:paraId="5F6A2F2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2020</w:t>
            </w:r>
          </w:p>
        </w:tc>
        <w:tc>
          <w:tcPr>
            <w:tcW w:w="0" w:type="auto"/>
            <w:tcBorders>
              <w:top w:val="nil"/>
              <w:left w:val="nil"/>
              <w:bottom w:val="single" w:sz="8" w:space="0" w:color="auto"/>
              <w:right w:val="single" w:sz="8" w:space="0" w:color="auto"/>
            </w:tcBorders>
            <w:noWrap/>
            <w:vAlign w:val="center"/>
            <w:hideMark/>
          </w:tcPr>
          <w:p w14:paraId="079F0F1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863,210</w:t>
            </w:r>
          </w:p>
        </w:tc>
        <w:tc>
          <w:tcPr>
            <w:tcW w:w="1814" w:type="dxa"/>
            <w:tcBorders>
              <w:top w:val="nil"/>
              <w:left w:val="nil"/>
              <w:bottom w:val="single" w:sz="8" w:space="0" w:color="auto"/>
              <w:right w:val="single" w:sz="8" w:space="0" w:color="auto"/>
            </w:tcBorders>
            <w:noWrap/>
            <w:vAlign w:val="center"/>
            <w:hideMark/>
          </w:tcPr>
          <w:p w14:paraId="7C12696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874,087</w:t>
            </w:r>
          </w:p>
        </w:tc>
        <w:tc>
          <w:tcPr>
            <w:tcW w:w="1768" w:type="dxa"/>
            <w:tcBorders>
              <w:top w:val="nil"/>
              <w:left w:val="single" w:sz="8" w:space="0" w:color="auto"/>
              <w:bottom w:val="single" w:sz="8" w:space="0" w:color="auto"/>
              <w:right w:val="single" w:sz="8" w:space="0" w:color="auto"/>
            </w:tcBorders>
            <w:shd w:val="clear" w:color="000000" w:fill="D9D9D9"/>
          </w:tcPr>
          <w:p w14:paraId="696266E9"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single" w:sz="8" w:space="0" w:color="auto"/>
              <w:right w:val="nil"/>
            </w:tcBorders>
            <w:shd w:val="clear" w:color="000000" w:fill="D9D9D9"/>
            <w:vAlign w:val="center"/>
          </w:tcPr>
          <w:p w14:paraId="7F12F865"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w:t>
            </w:r>
          </w:p>
        </w:tc>
        <w:tc>
          <w:tcPr>
            <w:tcW w:w="1650" w:type="dxa"/>
            <w:tcBorders>
              <w:top w:val="nil"/>
              <w:left w:val="single" w:sz="8" w:space="0" w:color="auto"/>
              <w:bottom w:val="single" w:sz="4" w:space="0" w:color="auto"/>
              <w:right w:val="single" w:sz="8" w:space="0" w:color="auto"/>
            </w:tcBorders>
            <w:shd w:val="clear" w:color="000000" w:fill="D9D9D9"/>
            <w:vAlign w:val="center"/>
          </w:tcPr>
          <w:p w14:paraId="15D02F4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863,210</w:t>
            </w:r>
          </w:p>
        </w:tc>
        <w:tc>
          <w:tcPr>
            <w:tcW w:w="1887" w:type="dxa"/>
            <w:tcBorders>
              <w:top w:val="nil"/>
              <w:left w:val="nil"/>
              <w:bottom w:val="nil"/>
              <w:right w:val="single" w:sz="8" w:space="0" w:color="auto"/>
            </w:tcBorders>
            <w:shd w:val="clear" w:color="000000" w:fill="D9D9D9"/>
            <w:vAlign w:val="center"/>
          </w:tcPr>
          <w:p w14:paraId="6EB2A8E8"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17,621,208</w:t>
            </w:r>
          </w:p>
        </w:tc>
      </w:tr>
      <w:tr w:rsidR="006F646F" w:rsidRPr="00CB4950" w14:paraId="02941F08" w14:textId="77777777" w:rsidTr="00CD02A5">
        <w:trPr>
          <w:trHeight w:val="300"/>
        </w:trPr>
        <w:tc>
          <w:tcPr>
            <w:tcW w:w="0" w:type="auto"/>
            <w:tcBorders>
              <w:top w:val="nil"/>
              <w:left w:val="single" w:sz="8" w:space="0" w:color="auto"/>
              <w:bottom w:val="nil"/>
              <w:right w:val="single" w:sz="8" w:space="0" w:color="auto"/>
            </w:tcBorders>
            <w:noWrap/>
            <w:vAlign w:val="center"/>
            <w:hideMark/>
          </w:tcPr>
          <w:p w14:paraId="38CBBAC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2021</w:t>
            </w:r>
          </w:p>
        </w:tc>
        <w:tc>
          <w:tcPr>
            <w:tcW w:w="0" w:type="auto"/>
            <w:tcBorders>
              <w:top w:val="nil"/>
              <w:left w:val="nil"/>
              <w:bottom w:val="single" w:sz="4" w:space="0" w:color="auto"/>
              <w:right w:val="single" w:sz="8" w:space="0" w:color="auto"/>
            </w:tcBorders>
            <w:noWrap/>
            <w:vAlign w:val="center"/>
            <w:hideMark/>
          </w:tcPr>
          <w:p w14:paraId="7AC9E03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1,046,067</w:t>
            </w:r>
          </w:p>
        </w:tc>
        <w:tc>
          <w:tcPr>
            <w:tcW w:w="1814" w:type="dxa"/>
            <w:tcBorders>
              <w:top w:val="nil"/>
              <w:left w:val="nil"/>
              <w:bottom w:val="single" w:sz="4" w:space="0" w:color="auto"/>
              <w:right w:val="single" w:sz="8" w:space="0" w:color="auto"/>
            </w:tcBorders>
            <w:noWrap/>
            <w:vAlign w:val="center"/>
            <w:hideMark/>
          </w:tcPr>
          <w:p w14:paraId="2DAAF84B"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#N/A</w:t>
            </w:r>
          </w:p>
        </w:tc>
        <w:tc>
          <w:tcPr>
            <w:tcW w:w="1768" w:type="dxa"/>
            <w:tcBorders>
              <w:top w:val="nil"/>
              <w:left w:val="single" w:sz="8" w:space="0" w:color="auto"/>
              <w:bottom w:val="nil"/>
              <w:right w:val="single" w:sz="8" w:space="0" w:color="auto"/>
            </w:tcBorders>
            <w:shd w:val="clear" w:color="000000" w:fill="D9D9D9"/>
          </w:tcPr>
          <w:p w14:paraId="13042127"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nil"/>
              <w:left w:val="single" w:sz="8" w:space="0" w:color="auto"/>
              <w:bottom w:val="nil"/>
              <w:right w:val="nil"/>
            </w:tcBorders>
            <w:shd w:val="clear" w:color="000000" w:fill="D9D9D9"/>
            <w:vAlign w:val="center"/>
          </w:tcPr>
          <w:p w14:paraId="207888B9"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0.98</w:t>
            </w:r>
          </w:p>
        </w:tc>
        <w:tc>
          <w:tcPr>
            <w:tcW w:w="1650" w:type="dxa"/>
            <w:tcBorders>
              <w:top w:val="nil"/>
              <w:left w:val="single" w:sz="8" w:space="0" w:color="auto"/>
              <w:bottom w:val="single" w:sz="4" w:space="0" w:color="auto"/>
              <w:right w:val="single" w:sz="8" w:space="0" w:color="auto"/>
            </w:tcBorders>
            <w:shd w:val="clear" w:color="000000" w:fill="D9D9D9"/>
            <w:vAlign w:val="center"/>
          </w:tcPr>
          <w:p w14:paraId="4B21D37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1,067,415</w:t>
            </w:r>
          </w:p>
        </w:tc>
        <w:tc>
          <w:tcPr>
            <w:tcW w:w="1887" w:type="dxa"/>
            <w:tcBorders>
              <w:top w:val="single" w:sz="4" w:space="0" w:color="auto"/>
              <w:left w:val="nil"/>
              <w:bottom w:val="single" w:sz="4" w:space="0" w:color="auto"/>
              <w:right w:val="single" w:sz="8" w:space="0" w:color="auto"/>
            </w:tcBorders>
            <w:shd w:val="clear" w:color="000000" w:fill="D9D9D9"/>
            <w:vAlign w:val="center"/>
          </w:tcPr>
          <w:p w14:paraId="6BBB1150"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17,249,778</w:t>
            </w:r>
          </w:p>
        </w:tc>
      </w:tr>
      <w:tr w:rsidR="006F646F" w:rsidRPr="00CB4950" w14:paraId="17829255" w14:textId="77777777" w:rsidTr="00CD02A5">
        <w:trPr>
          <w:trHeight w:val="300"/>
        </w:trPr>
        <w:tc>
          <w:tcPr>
            <w:tcW w:w="0" w:type="auto"/>
            <w:tcBorders>
              <w:top w:val="single" w:sz="8" w:space="0" w:color="808080"/>
              <w:left w:val="single" w:sz="8" w:space="0" w:color="auto"/>
              <w:bottom w:val="single" w:sz="4" w:space="0" w:color="auto"/>
              <w:right w:val="single" w:sz="4" w:space="0" w:color="auto"/>
            </w:tcBorders>
            <w:shd w:val="clear" w:color="auto" w:fill="D9E2F3"/>
            <w:noWrap/>
            <w:vAlign w:val="center"/>
            <w:hideMark/>
          </w:tcPr>
          <w:p w14:paraId="077717DA"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2022</w:t>
            </w:r>
          </w:p>
        </w:tc>
        <w:tc>
          <w:tcPr>
            <w:tcW w:w="0" w:type="auto"/>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7EDAC489"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29B2B166"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 </w:t>
            </w:r>
          </w:p>
        </w:tc>
        <w:tc>
          <w:tcPr>
            <w:tcW w:w="1768" w:type="dxa"/>
            <w:tcBorders>
              <w:top w:val="single" w:sz="4" w:space="0" w:color="auto"/>
              <w:left w:val="single" w:sz="4" w:space="0" w:color="auto"/>
              <w:bottom w:val="single" w:sz="4" w:space="0" w:color="auto"/>
              <w:right w:val="single" w:sz="4" w:space="0" w:color="auto"/>
            </w:tcBorders>
            <w:shd w:val="clear" w:color="auto" w:fill="D9E2F3"/>
          </w:tcPr>
          <w:p w14:paraId="474C6780" w14:textId="77777777" w:rsidR="006F646F" w:rsidRPr="00CB4950" w:rsidRDefault="006F646F" w:rsidP="00CD02A5">
            <w:pPr>
              <w:rPr>
                <w:rFonts w:ascii="Calibri" w:eastAsia="Calibri" w:hAnsi="Calibri" w:cs="Calibri"/>
                <w:color w:val="000000"/>
                <w:sz w:val="24"/>
                <w:szCs w:val="24"/>
              </w:rPr>
            </w:pPr>
          </w:p>
        </w:tc>
        <w:tc>
          <w:tcPr>
            <w:tcW w:w="0" w:type="auto"/>
            <w:tcBorders>
              <w:top w:val="single" w:sz="4" w:space="0" w:color="auto"/>
              <w:left w:val="single" w:sz="4" w:space="0" w:color="auto"/>
              <w:bottom w:val="single" w:sz="4" w:space="0" w:color="auto"/>
              <w:right w:val="nil"/>
            </w:tcBorders>
            <w:shd w:val="clear" w:color="auto" w:fill="D9E2F3"/>
            <w:vAlign w:val="center"/>
          </w:tcPr>
          <w:p w14:paraId="592B8459"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single" w:sz="8" w:space="0" w:color="auto"/>
              <w:bottom w:val="single" w:sz="4" w:space="0" w:color="auto"/>
              <w:right w:val="single" w:sz="8" w:space="0" w:color="auto"/>
            </w:tcBorders>
            <w:shd w:val="clear" w:color="auto" w:fill="D9E2F3"/>
            <w:vAlign w:val="center"/>
          </w:tcPr>
          <w:p w14:paraId="758124EB"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8" w:space="0" w:color="auto"/>
            </w:tcBorders>
            <w:shd w:val="clear" w:color="auto" w:fill="D9E2F3"/>
            <w:vAlign w:val="center"/>
          </w:tcPr>
          <w:p w14:paraId="76723C5C"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16,008,557</w:t>
            </w:r>
          </w:p>
        </w:tc>
      </w:tr>
      <w:tr w:rsidR="006F646F" w:rsidRPr="00CB4950" w14:paraId="74B4B7CB" w14:textId="77777777" w:rsidTr="00CD02A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0734729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2023</w:t>
            </w:r>
          </w:p>
        </w:tc>
        <w:tc>
          <w:tcPr>
            <w:tcW w:w="0" w:type="auto"/>
            <w:tcBorders>
              <w:top w:val="nil"/>
              <w:left w:val="single" w:sz="8" w:space="0" w:color="auto"/>
              <w:bottom w:val="single" w:sz="8" w:space="0" w:color="auto"/>
              <w:right w:val="nil"/>
            </w:tcBorders>
            <w:shd w:val="clear" w:color="auto" w:fill="D9E2F3"/>
            <w:noWrap/>
            <w:vAlign w:val="center"/>
            <w:hideMark/>
          </w:tcPr>
          <w:p w14:paraId="021BD42F"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00A7C8B3"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 </w:t>
            </w:r>
          </w:p>
        </w:tc>
        <w:tc>
          <w:tcPr>
            <w:tcW w:w="1768" w:type="dxa"/>
            <w:tcBorders>
              <w:top w:val="nil"/>
              <w:left w:val="single" w:sz="8" w:space="0" w:color="auto"/>
              <w:bottom w:val="single" w:sz="8" w:space="0" w:color="auto"/>
              <w:right w:val="single" w:sz="8" w:space="0" w:color="auto"/>
            </w:tcBorders>
            <w:shd w:val="clear" w:color="auto" w:fill="D9E2F3"/>
          </w:tcPr>
          <w:p w14:paraId="3FCB224B"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single" w:sz="8" w:space="0" w:color="auto"/>
              <w:bottom w:val="single" w:sz="8" w:space="0" w:color="auto"/>
              <w:right w:val="nil"/>
            </w:tcBorders>
            <w:shd w:val="clear" w:color="auto" w:fill="D9E2F3"/>
            <w:vAlign w:val="center"/>
          </w:tcPr>
          <w:p w14:paraId="6EEF689C"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single" w:sz="8" w:space="0" w:color="auto"/>
              <w:bottom w:val="single" w:sz="8" w:space="0" w:color="auto"/>
              <w:right w:val="single" w:sz="8" w:space="0" w:color="auto"/>
            </w:tcBorders>
            <w:shd w:val="clear" w:color="auto" w:fill="D9E2F3"/>
            <w:vAlign w:val="center"/>
          </w:tcPr>
          <w:p w14:paraId="718D1FCE"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8" w:space="0" w:color="auto"/>
            </w:tcBorders>
            <w:shd w:val="clear" w:color="auto" w:fill="D9E2F3"/>
            <w:vAlign w:val="center"/>
          </w:tcPr>
          <w:p w14:paraId="4E0A1AD8"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14,918,657</w:t>
            </w:r>
          </w:p>
        </w:tc>
      </w:tr>
      <w:tr w:rsidR="006F646F" w:rsidRPr="00CB4950" w14:paraId="0B1D1E8D"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53FBD31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2024</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7EDE0C5E"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278D6B62"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775D648B"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54E70F72"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3F48786F"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5A410301"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13,828,757</w:t>
            </w:r>
          </w:p>
        </w:tc>
      </w:tr>
      <w:tr w:rsidR="006F646F" w:rsidRPr="00CB4950" w14:paraId="6FF47738"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7729AAE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2025</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148DB1FD"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1AF20390"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517F7E2F"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2318A6DF"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03C66BAB"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6E1D2A81"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12,738,857</w:t>
            </w:r>
          </w:p>
        </w:tc>
      </w:tr>
      <w:tr w:rsidR="006F646F" w:rsidRPr="00CB4950" w14:paraId="693A97E8"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108E8FF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2026</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4835AA81"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4DDB0468"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6644F90C"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7F133771"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1F42F472"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66A87FC5"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11,648,957</w:t>
            </w:r>
          </w:p>
        </w:tc>
      </w:tr>
      <w:tr w:rsidR="006F646F" w:rsidRPr="00CB4950" w14:paraId="382C27CF"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07E29C5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2027</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1B946F27"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2878F1D4"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42E21082"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75A0116E"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18C9B0BC"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0C8DD4DF"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10,559,057</w:t>
            </w:r>
          </w:p>
        </w:tc>
      </w:tr>
      <w:tr w:rsidR="006F646F" w:rsidRPr="00CB4950" w14:paraId="611EA8AF"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10FFFDE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2028</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47BC4841"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1D2CCE71"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5AF87CF2"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09DE3D17"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2DDA416C"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290C8A34"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9,469,157</w:t>
            </w:r>
          </w:p>
        </w:tc>
      </w:tr>
      <w:tr w:rsidR="006F646F" w:rsidRPr="00CB4950" w14:paraId="13336A79"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703A197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2029</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7FEFC68A"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2CA093F2"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27586F7A"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06B95684"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0F38CC77"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1108A1CA"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8,379,257</w:t>
            </w:r>
          </w:p>
        </w:tc>
      </w:tr>
      <w:tr w:rsidR="006F646F" w:rsidRPr="00CB4950" w14:paraId="132D1284"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36885E41"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2030</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2894A33B"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6946CA13"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5BC32B38"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695DE7E5"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52963340"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67391024"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7,289,357</w:t>
            </w:r>
          </w:p>
        </w:tc>
      </w:tr>
      <w:tr w:rsidR="006F646F" w:rsidRPr="00CB4950" w14:paraId="3B87FCD0"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432C18D6"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2031</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0DC19D24"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57B627EC"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02266B45"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16EDE413"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3F53749D"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7FAD6EFE"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6,199,457</w:t>
            </w:r>
          </w:p>
        </w:tc>
      </w:tr>
      <w:tr w:rsidR="006F646F" w:rsidRPr="00CB4950" w14:paraId="0A93DAE5"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6AFA78D3"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2031</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25FA1883"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068B15C3"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20CE87D9"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2E3E578A"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28B11C74"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2D9D6762"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5,109,557</w:t>
            </w:r>
          </w:p>
        </w:tc>
      </w:tr>
      <w:tr w:rsidR="006F646F" w:rsidRPr="00CB4950" w14:paraId="6052BADE"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654130D2"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2033</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10FAD9E2"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028574AB"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54D97520"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356F1E86"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02F2D99E"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39933B32"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4,019,657</w:t>
            </w:r>
          </w:p>
        </w:tc>
      </w:tr>
      <w:tr w:rsidR="006F646F" w:rsidRPr="00CB4950" w14:paraId="41647804"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60D7AEFD"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2034</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4D60FFAB"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1D3D2235"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4D5611FC"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79FCDC5E"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749EEA98"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0F9AD184"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2,929,757</w:t>
            </w:r>
          </w:p>
        </w:tc>
      </w:tr>
      <w:tr w:rsidR="006F646F" w:rsidRPr="00CB4950" w14:paraId="355247C2" w14:textId="77777777" w:rsidTr="00CD02A5">
        <w:trPr>
          <w:trHeight w:val="315"/>
        </w:trPr>
        <w:tc>
          <w:tcPr>
            <w:tcW w:w="0" w:type="auto"/>
            <w:tcBorders>
              <w:top w:val="nil"/>
              <w:left w:val="single" w:sz="8" w:space="0" w:color="auto"/>
              <w:bottom w:val="single" w:sz="8" w:space="0" w:color="auto"/>
              <w:right w:val="nil"/>
            </w:tcBorders>
            <w:shd w:val="clear" w:color="auto" w:fill="D9E2F3"/>
            <w:noWrap/>
            <w:vAlign w:val="center"/>
          </w:tcPr>
          <w:p w14:paraId="465CFABC"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2034</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780BCA7F"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77645FEC"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nil"/>
              <w:bottom w:val="single" w:sz="8" w:space="0" w:color="auto"/>
              <w:right w:val="nil"/>
            </w:tcBorders>
            <w:shd w:val="clear" w:color="auto" w:fill="D9E2F3"/>
          </w:tcPr>
          <w:p w14:paraId="60C0CF40"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nil"/>
              <w:bottom w:val="single" w:sz="8" w:space="0" w:color="auto"/>
              <w:right w:val="single" w:sz="8" w:space="0" w:color="auto"/>
            </w:tcBorders>
            <w:shd w:val="clear" w:color="auto" w:fill="D9E2F3"/>
            <w:vAlign w:val="center"/>
          </w:tcPr>
          <w:p w14:paraId="5FDBC774"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4" w:space="0" w:color="auto"/>
            </w:tcBorders>
            <w:shd w:val="clear" w:color="auto" w:fill="D9E2F3"/>
            <w:vAlign w:val="center"/>
          </w:tcPr>
          <w:p w14:paraId="0D7F9AFD"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single" w:sz="8" w:space="0" w:color="auto"/>
              <w:right w:val="single" w:sz="4" w:space="0" w:color="auto"/>
            </w:tcBorders>
            <w:shd w:val="clear" w:color="auto" w:fill="D9E2F3"/>
            <w:vAlign w:val="center"/>
          </w:tcPr>
          <w:p w14:paraId="73699A53"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1,839,857</w:t>
            </w:r>
          </w:p>
        </w:tc>
      </w:tr>
      <w:tr w:rsidR="006F646F" w:rsidRPr="00CB4950" w14:paraId="67A7BD6C" w14:textId="77777777" w:rsidTr="00CD02A5">
        <w:trPr>
          <w:trHeight w:val="315"/>
        </w:trPr>
        <w:tc>
          <w:tcPr>
            <w:tcW w:w="0" w:type="auto"/>
            <w:tcBorders>
              <w:top w:val="nil"/>
              <w:left w:val="single" w:sz="8" w:space="0" w:color="auto"/>
              <w:bottom w:val="single" w:sz="8" w:space="0" w:color="auto"/>
              <w:right w:val="single" w:sz="8" w:space="0" w:color="auto"/>
            </w:tcBorders>
            <w:shd w:val="clear" w:color="auto" w:fill="D9E2F3"/>
            <w:noWrap/>
            <w:vAlign w:val="center"/>
          </w:tcPr>
          <w:p w14:paraId="30979CA4"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2035</w:t>
            </w:r>
          </w:p>
        </w:tc>
        <w:tc>
          <w:tcPr>
            <w:tcW w:w="0" w:type="auto"/>
            <w:tcBorders>
              <w:top w:val="nil"/>
              <w:left w:val="single" w:sz="4" w:space="0" w:color="auto"/>
              <w:bottom w:val="single" w:sz="8" w:space="0" w:color="auto"/>
              <w:right w:val="single" w:sz="8" w:space="0" w:color="auto"/>
            </w:tcBorders>
            <w:shd w:val="clear" w:color="auto" w:fill="D9E2F3"/>
            <w:noWrap/>
            <w:vAlign w:val="center"/>
          </w:tcPr>
          <w:p w14:paraId="43611E23"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1,100,000</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7FCE0764"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single" w:sz="8" w:space="0" w:color="auto"/>
              <w:bottom w:val="single" w:sz="8" w:space="0" w:color="auto"/>
              <w:right w:val="single" w:sz="8" w:space="0" w:color="auto"/>
            </w:tcBorders>
            <w:shd w:val="clear" w:color="auto" w:fill="D9E2F3"/>
          </w:tcPr>
          <w:p w14:paraId="1DFE9000"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auto" w:fill="D9E2F3"/>
            <w:vAlign w:val="center"/>
          </w:tcPr>
          <w:p w14:paraId="49E70F77"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single" w:sz="8" w:space="0" w:color="auto"/>
            </w:tcBorders>
            <w:shd w:val="clear" w:color="auto" w:fill="D9E2F3"/>
            <w:vAlign w:val="center"/>
          </w:tcPr>
          <w:p w14:paraId="40491C4D"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1,089,900</w:t>
            </w:r>
          </w:p>
        </w:tc>
        <w:tc>
          <w:tcPr>
            <w:tcW w:w="1887" w:type="dxa"/>
            <w:tcBorders>
              <w:top w:val="nil"/>
              <w:left w:val="nil"/>
              <w:bottom w:val="nil"/>
              <w:right w:val="single" w:sz="8" w:space="0" w:color="auto"/>
            </w:tcBorders>
            <w:shd w:val="clear" w:color="auto" w:fill="D9E2F3"/>
            <w:vAlign w:val="center"/>
          </w:tcPr>
          <w:p w14:paraId="4FCF882B"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749,957</w:t>
            </w:r>
          </w:p>
        </w:tc>
      </w:tr>
      <w:tr w:rsidR="006F646F" w:rsidRPr="00CB4950" w14:paraId="743794BE" w14:textId="77777777" w:rsidTr="00CD02A5">
        <w:trPr>
          <w:trHeight w:val="315"/>
        </w:trPr>
        <w:tc>
          <w:tcPr>
            <w:tcW w:w="0" w:type="auto"/>
            <w:tcBorders>
              <w:top w:val="nil"/>
              <w:left w:val="single" w:sz="8" w:space="0" w:color="auto"/>
              <w:bottom w:val="single" w:sz="8" w:space="0" w:color="auto"/>
              <w:right w:val="single" w:sz="8" w:space="0" w:color="auto"/>
            </w:tcBorders>
            <w:shd w:val="clear" w:color="auto" w:fill="D9E2F3"/>
            <w:noWrap/>
            <w:vAlign w:val="center"/>
          </w:tcPr>
          <w:p w14:paraId="291AD657" w14:textId="77777777" w:rsidR="006F646F" w:rsidRPr="00CB4950" w:rsidRDefault="006F646F" w:rsidP="00CD02A5">
            <w:pPr>
              <w:jc w:val="center"/>
              <w:rPr>
                <w:rFonts w:ascii="Calibri" w:eastAsia="Calibri" w:hAnsi="Calibri" w:cs="Calibri"/>
                <w:color w:val="000000"/>
                <w:sz w:val="24"/>
                <w:szCs w:val="24"/>
              </w:rPr>
            </w:pPr>
            <w:r w:rsidRPr="00CB4950">
              <w:rPr>
                <w:rFonts w:ascii="Calibri" w:eastAsia="Calibri" w:hAnsi="Calibri" w:cs="Calibri"/>
                <w:color w:val="000000"/>
                <w:sz w:val="24"/>
                <w:szCs w:val="24"/>
              </w:rPr>
              <w:t>2036</w:t>
            </w:r>
          </w:p>
        </w:tc>
        <w:tc>
          <w:tcPr>
            <w:tcW w:w="0" w:type="auto"/>
            <w:tcBorders>
              <w:top w:val="nil"/>
              <w:left w:val="nil"/>
              <w:bottom w:val="single" w:sz="8" w:space="0" w:color="auto"/>
              <w:right w:val="single" w:sz="8" w:space="0" w:color="auto"/>
            </w:tcBorders>
            <w:shd w:val="clear" w:color="auto" w:fill="D9E2F3"/>
            <w:noWrap/>
            <w:vAlign w:val="center"/>
          </w:tcPr>
          <w:p w14:paraId="059D95FC"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750,708</w:t>
            </w:r>
          </w:p>
        </w:tc>
        <w:tc>
          <w:tcPr>
            <w:tcW w:w="1814" w:type="dxa"/>
            <w:tcBorders>
              <w:top w:val="single" w:sz="4" w:space="0" w:color="auto"/>
              <w:left w:val="single" w:sz="4" w:space="0" w:color="auto"/>
              <w:bottom w:val="single" w:sz="4" w:space="0" w:color="auto"/>
              <w:right w:val="single" w:sz="4" w:space="0" w:color="auto"/>
            </w:tcBorders>
            <w:shd w:val="clear" w:color="auto" w:fill="D9E2F3"/>
            <w:noWrap/>
            <w:vAlign w:val="center"/>
          </w:tcPr>
          <w:p w14:paraId="098F97E0" w14:textId="77777777" w:rsidR="006F646F" w:rsidRPr="00CB4950" w:rsidRDefault="006F646F" w:rsidP="00CD02A5">
            <w:pPr>
              <w:rPr>
                <w:rFonts w:ascii="Calibri" w:eastAsia="Calibri" w:hAnsi="Calibri" w:cs="Calibri"/>
                <w:color w:val="000000"/>
                <w:sz w:val="24"/>
                <w:szCs w:val="24"/>
              </w:rPr>
            </w:pPr>
          </w:p>
        </w:tc>
        <w:tc>
          <w:tcPr>
            <w:tcW w:w="1768" w:type="dxa"/>
            <w:tcBorders>
              <w:top w:val="nil"/>
              <w:left w:val="single" w:sz="8" w:space="0" w:color="auto"/>
              <w:bottom w:val="single" w:sz="8" w:space="0" w:color="auto"/>
              <w:right w:val="single" w:sz="8" w:space="0" w:color="auto"/>
            </w:tcBorders>
            <w:shd w:val="clear" w:color="auto" w:fill="D9E2F3"/>
          </w:tcPr>
          <w:p w14:paraId="64C2301C" w14:textId="77777777" w:rsidR="006F646F" w:rsidRPr="00CB4950" w:rsidRDefault="006F646F" w:rsidP="00CD02A5">
            <w:pPr>
              <w:rPr>
                <w:rFonts w:ascii="Calibri" w:eastAsia="Calibri" w:hAnsi="Calibri" w:cs="Calibri"/>
                <w:color w:val="000000"/>
                <w:sz w:val="24"/>
                <w:szCs w:val="24"/>
              </w:rPr>
            </w:pPr>
          </w:p>
        </w:tc>
        <w:tc>
          <w:tcPr>
            <w:tcW w:w="0" w:type="auto"/>
            <w:tcBorders>
              <w:top w:val="nil"/>
              <w:left w:val="single" w:sz="8" w:space="0" w:color="auto"/>
              <w:bottom w:val="single" w:sz="8" w:space="0" w:color="auto"/>
              <w:right w:val="single" w:sz="8" w:space="0" w:color="auto"/>
            </w:tcBorders>
            <w:shd w:val="clear" w:color="auto" w:fill="D9E2F3"/>
            <w:vAlign w:val="center"/>
          </w:tcPr>
          <w:p w14:paraId="08BC83CF"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0.999</w:t>
            </w:r>
          </w:p>
        </w:tc>
        <w:tc>
          <w:tcPr>
            <w:tcW w:w="1650" w:type="dxa"/>
            <w:tcBorders>
              <w:top w:val="nil"/>
              <w:left w:val="nil"/>
              <w:bottom w:val="single" w:sz="8" w:space="0" w:color="auto"/>
              <w:right w:val="nil"/>
            </w:tcBorders>
            <w:shd w:val="clear" w:color="auto" w:fill="D9E2F3"/>
            <w:vAlign w:val="center"/>
          </w:tcPr>
          <w:p w14:paraId="43194350"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749,957</w:t>
            </w:r>
          </w:p>
        </w:tc>
        <w:tc>
          <w:tcPr>
            <w:tcW w:w="1887" w:type="dxa"/>
            <w:tcBorders>
              <w:top w:val="single" w:sz="8" w:space="0" w:color="auto"/>
              <w:left w:val="single" w:sz="8" w:space="0" w:color="auto"/>
              <w:bottom w:val="single" w:sz="8" w:space="0" w:color="auto"/>
              <w:right w:val="single" w:sz="8" w:space="0" w:color="auto"/>
            </w:tcBorders>
            <w:shd w:val="clear" w:color="auto" w:fill="D9E2F3"/>
            <w:vAlign w:val="bottom"/>
          </w:tcPr>
          <w:p w14:paraId="3B3826DC" w14:textId="77777777" w:rsidR="006F646F" w:rsidRPr="00CB4950" w:rsidRDefault="006F646F" w:rsidP="00CD02A5">
            <w:pPr>
              <w:rPr>
                <w:rFonts w:ascii="Calibri" w:eastAsia="Calibri" w:hAnsi="Calibri" w:cs="Calibri"/>
                <w:color w:val="000000"/>
                <w:sz w:val="24"/>
                <w:szCs w:val="24"/>
              </w:rPr>
            </w:pPr>
            <w:r w:rsidRPr="00CB4950">
              <w:rPr>
                <w:rFonts w:ascii="Calibri" w:eastAsia="Calibri" w:hAnsi="Calibri" w:cs="Calibri"/>
                <w:color w:val="000000"/>
                <w:sz w:val="24"/>
                <w:szCs w:val="24"/>
              </w:rPr>
              <w:t>0</w:t>
            </w:r>
          </w:p>
        </w:tc>
      </w:tr>
      <w:tr w:rsidR="006F646F" w:rsidRPr="00CB4950" w14:paraId="1CA6E237" w14:textId="77777777" w:rsidTr="00CD02A5">
        <w:trPr>
          <w:trHeight w:val="315"/>
        </w:trPr>
        <w:tc>
          <w:tcPr>
            <w:tcW w:w="0" w:type="auto"/>
            <w:tcBorders>
              <w:top w:val="single" w:sz="4" w:space="0" w:color="auto"/>
              <w:left w:val="single" w:sz="4" w:space="0" w:color="auto"/>
              <w:bottom w:val="single" w:sz="4" w:space="0" w:color="auto"/>
              <w:right w:val="single" w:sz="4" w:space="0" w:color="auto"/>
            </w:tcBorders>
            <w:noWrap/>
            <w:vAlign w:val="center"/>
          </w:tcPr>
          <w:p w14:paraId="13524087" w14:textId="77777777" w:rsidR="006F646F" w:rsidRPr="00CB4950" w:rsidRDefault="006F646F" w:rsidP="00CD02A5">
            <w:pPr>
              <w:jc w:val="center"/>
              <w:rPr>
                <w:rFonts w:ascii="Calibri" w:eastAsia="Calibri" w:hAnsi="Calibri" w:cs="Calibri"/>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tcPr>
          <w:p w14:paraId="55822620" w14:textId="77777777" w:rsidR="006F646F" w:rsidRPr="00CB4950" w:rsidRDefault="006F646F" w:rsidP="00CD02A5">
            <w:pPr>
              <w:rPr>
                <w:rFonts w:ascii="Calibri" w:eastAsia="Calibri" w:hAnsi="Calibri" w:cs="Calibri"/>
                <w:color w:val="000000"/>
                <w:sz w:val="24"/>
                <w:szCs w:val="24"/>
              </w:rPr>
            </w:pPr>
          </w:p>
        </w:tc>
        <w:tc>
          <w:tcPr>
            <w:tcW w:w="1814" w:type="dxa"/>
            <w:tcBorders>
              <w:top w:val="single" w:sz="4" w:space="0" w:color="auto"/>
              <w:left w:val="single" w:sz="4" w:space="0" w:color="auto"/>
              <w:bottom w:val="single" w:sz="4" w:space="0" w:color="auto"/>
              <w:right w:val="single" w:sz="4" w:space="0" w:color="auto"/>
            </w:tcBorders>
            <w:noWrap/>
            <w:vAlign w:val="center"/>
          </w:tcPr>
          <w:p w14:paraId="7CFD8478" w14:textId="77777777" w:rsidR="006F646F" w:rsidRPr="00CB4950" w:rsidRDefault="006F646F" w:rsidP="00CD02A5">
            <w:pPr>
              <w:rPr>
                <w:rFonts w:ascii="Calibri" w:eastAsia="Calibri" w:hAnsi="Calibri" w:cs="Calibri"/>
                <w:color w:val="000000"/>
                <w:sz w:val="24"/>
                <w:szCs w:val="24"/>
              </w:rPr>
            </w:pPr>
          </w:p>
        </w:tc>
        <w:tc>
          <w:tcPr>
            <w:tcW w:w="1768" w:type="dxa"/>
            <w:tcBorders>
              <w:top w:val="single" w:sz="4" w:space="0" w:color="auto"/>
              <w:left w:val="single" w:sz="4" w:space="0" w:color="auto"/>
              <w:bottom w:val="single" w:sz="4" w:space="0" w:color="auto"/>
              <w:right w:val="single" w:sz="4" w:space="0" w:color="auto"/>
            </w:tcBorders>
          </w:tcPr>
          <w:p w14:paraId="24CFF08C" w14:textId="77777777" w:rsidR="006F646F" w:rsidRPr="00CB4950" w:rsidRDefault="006F646F" w:rsidP="00CD02A5">
            <w:pPr>
              <w:rPr>
                <w:rFonts w:ascii="Calibri" w:eastAsia="Calibri" w:hAnsi="Calibri" w:cs="Calibri"/>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Pr>
          <w:p w14:paraId="584BF590" w14:textId="77777777" w:rsidR="006F646F" w:rsidRPr="00CB4950" w:rsidRDefault="006F646F" w:rsidP="00CD02A5">
            <w:pPr>
              <w:rPr>
                <w:rFonts w:ascii="Calibri" w:eastAsia="Calibri" w:hAnsi="Calibri" w:cs="Calibri"/>
                <w:color w:val="000000"/>
                <w:sz w:val="24"/>
                <w:szCs w:val="24"/>
              </w:rPr>
            </w:pPr>
          </w:p>
        </w:tc>
        <w:tc>
          <w:tcPr>
            <w:tcW w:w="1650" w:type="dxa"/>
            <w:tcBorders>
              <w:top w:val="single" w:sz="4" w:space="0" w:color="auto"/>
              <w:left w:val="single" w:sz="4" w:space="0" w:color="auto"/>
              <w:bottom w:val="single" w:sz="4" w:space="0" w:color="auto"/>
              <w:right w:val="single" w:sz="4" w:space="0" w:color="auto"/>
            </w:tcBorders>
          </w:tcPr>
          <w:p w14:paraId="751872D2" w14:textId="77777777" w:rsidR="006F646F" w:rsidRPr="00CB4950" w:rsidRDefault="006F646F" w:rsidP="00CD02A5">
            <w:pPr>
              <w:rPr>
                <w:rFonts w:ascii="Calibri" w:eastAsia="Calibri" w:hAnsi="Calibri" w:cs="Calibri"/>
                <w:color w:val="000000"/>
                <w:sz w:val="24"/>
                <w:szCs w:val="24"/>
              </w:rPr>
            </w:pPr>
          </w:p>
        </w:tc>
        <w:tc>
          <w:tcPr>
            <w:tcW w:w="1887" w:type="dxa"/>
            <w:tcBorders>
              <w:top w:val="single" w:sz="4" w:space="0" w:color="auto"/>
              <w:left w:val="single" w:sz="4" w:space="0" w:color="auto"/>
              <w:bottom w:val="single" w:sz="4" w:space="0" w:color="auto"/>
              <w:right w:val="single" w:sz="4" w:space="0" w:color="auto"/>
            </w:tcBorders>
          </w:tcPr>
          <w:p w14:paraId="45F9D681" w14:textId="77777777" w:rsidR="006F646F" w:rsidRPr="00CB4950" w:rsidRDefault="006F646F" w:rsidP="00CD02A5">
            <w:pPr>
              <w:rPr>
                <w:rFonts w:ascii="Calibri" w:eastAsia="Calibri" w:hAnsi="Calibri" w:cs="Calibri"/>
                <w:color w:val="000000"/>
                <w:sz w:val="24"/>
                <w:szCs w:val="24"/>
              </w:rPr>
            </w:pPr>
          </w:p>
        </w:tc>
      </w:tr>
    </w:tbl>
    <w:p w14:paraId="4941192B" w14:textId="77777777" w:rsidR="006F646F" w:rsidRPr="00CB4950" w:rsidRDefault="006F646F" w:rsidP="006F646F">
      <w:pPr>
        <w:rPr>
          <w:rFonts w:ascii="Calibri" w:eastAsia="Times New Roman" w:hAnsi="Calibri" w:cs="Calibri"/>
          <w:color w:val="2E74B5"/>
          <w:sz w:val="24"/>
          <w:szCs w:val="24"/>
        </w:rPr>
      </w:pPr>
      <w:r w:rsidRPr="00CB4950">
        <w:rPr>
          <w:rFonts w:ascii="Calibri" w:eastAsia="Calibri" w:hAnsi="Calibri" w:cs="Calibri"/>
          <w:sz w:val="24"/>
          <w:szCs w:val="24"/>
        </w:rPr>
        <w:br w:type="page"/>
      </w:r>
    </w:p>
    <w:p w14:paraId="616F6182" w14:textId="77777777" w:rsidR="006F646F" w:rsidRPr="00CB4950" w:rsidRDefault="006F646F" w:rsidP="006F646F">
      <w:pPr>
        <w:tabs>
          <w:tab w:val="left" w:pos="1662"/>
        </w:tabs>
        <w:rPr>
          <w:rFonts w:ascii="Calibri" w:eastAsia="Calibri" w:hAnsi="Calibri" w:cs="Calibri"/>
          <w:sz w:val="24"/>
          <w:szCs w:val="24"/>
        </w:rPr>
        <w:sectPr w:rsidR="006F646F" w:rsidRPr="00CB4950" w:rsidSect="008B5B8D">
          <w:type w:val="nextColumn"/>
          <w:pgSz w:w="12240" w:h="15840"/>
          <w:pgMar w:top="1008" w:right="1440" w:bottom="1008" w:left="1440" w:header="432" w:footer="432" w:gutter="0"/>
          <w:cols w:space="720"/>
          <w:docGrid w:linePitch="360"/>
        </w:sectPr>
      </w:pPr>
    </w:p>
    <w:p w14:paraId="08FC9EBB" w14:textId="77777777" w:rsidR="006F646F" w:rsidRPr="00CB4950" w:rsidRDefault="006F646F" w:rsidP="006F646F">
      <w:pPr>
        <w:keepNext/>
        <w:keepLines/>
        <w:spacing w:after="240" w:line="240" w:lineRule="auto"/>
        <w:outlineLvl w:val="1"/>
        <w:rPr>
          <w:rFonts w:ascii="Calibri" w:eastAsia="Times New Roman" w:hAnsi="Calibri" w:cs="Calibri"/>
          <w:color w:val="2E74B5"/>
          <w:sz w:val="24"/>
          <w:szCs w:val="24"/>
        </w:rPr>
      </w:pPr>
      <w:bookmarkStart w:id="269" w:name="_Toc128666902"/>
      <w:bookmarkStart w:id="270" w:name="_Toc128669092"/>
      <w:r w:rsidRPr="00CB4950">
        <w:rPr>
          <w:rFonts w:ascii="Calibri" w:eastAsia="Times New Roman" w:hAnsi="Calibri" w:cs="Calibri"/>
          <w:color w:val="2E74B5"/>
          <w:sz w:val="24"/>
          <w:szCs w:val="24"/>
        </w:rPr>
        <w:t>Appendix B: Calculation of 2000 Intake Threshold</w:t>
      </w:r>
      <w:bookmarkEnd w:id="269"/>
      <w:bookmarkEnd w:id="270"/>
    </w:p>
    <w:p w14:paraId="5E6231FD"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From the 2000 Landfill Franchise Agreement Section 8 (b):</w:t>
      </w:r>
    </w:p>
    <w:p w14:paraId="7824B0BE"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“One year after the Effective Date of this Agreement, the tonnage volumes identified in Section 8 (a) above (600,000 tons for one calendar year and 1,200,000 tons for two consecutive calendar years) shall each be increased at an annual rate of the greater of the following two percentages: (</w:t>
      </w:r>
      <w:proofErr w:type="spellStart"/>
      <w:r w:rsidRPr="00CB4950">
        <w:rPr>
          <w:rFonts w:ascii="Calibri" w:eastAsia="Calibri" w:hAnsi="Calibri" w:cs="Calibri"/>
          <w:sz w:val="24"/>
          <w:szCs w:val="24"/>
        </w:rPr>
        <w:t>i</w:t>
      </w:r>
      <w:proofErr w:type="spellEnd"/>
      <w:r w:rsidRPr="00CB4950">
        <w:rPr>
          <w:rFonts w:ascii="Calibri" w:eastAsia="Calibri" w:hAnsi="Calibri" w:cs="Calibri"/>
          <w:sz w:val="24"/>
          <w:szCs w:val="24"/>
        </w:rPr>
        <w:t>) two percent (2%); or (ii) the increase in total population of Benton, Linn, Polk, Lincoln, Tillamook and Marion Counties as reported by Portland State University, based upon the preceding calendar year.”</w:t>
      </w:r>
    </w:p>
    <w:p w14:paraId="329D5033"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Population data from Portland State University for the 2000-2019 period, with calculated Y/Y percentage increase:</w:t>
      </w:r>
    </w:p>
    <w:p w14:paraId="581A9303" w14:textId="77777777" w:rsidR="006F646F" w:rsidRPr="00CB4950" w:rsidRDefault="006F646F" w:rsidP="006F646F">
      <w:pPr>
        <w:rPr>
          <w:rFonts w:ascii="Calibri" w:eastAsia="Calibri" w:hAnsi="Calibri" w:cs="Calibri"/>
          <w:sz w:val="24"/>
          <w:szCs w:val="24"/>
          <w:u w:val="single"/>
        </w:rPr>
      </w:pPr>
      <w:r w:rsidRPr="00CB4950">
        <w:rPr>
          <w:rFonts w:ascii="Calibri" w:eastAsia="Calibri" w:hAnsi="Calibri" w:cs="Calibri"/>
          <w:noProof/>
          <w:sz w:val="24"/>
          <w:szCs w:val="24"/>
        </w:rPr>
        <w:drawing>
          <wp:inline distT="0" distB="0" distL="0" distR="0" wp14:anchorId="5232CA2F" wp14:editId="018355FA">
            <wp:extent cx="9097330" cy="2432050"/>
            <wp:effectExtent l="0" t="0" r="889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112860" cy="2436202"/>
                    </a:xfrm>
                    <a:prstGeom prst="rect">
                      <a:avLst/>
                    </a:prstGeom>
                    <a:noFill/>
                    <a:ln>
                      <a:noFill/>
                    </a:ln>
                  </pic:spPr>
                </pic:pic>
              </a:graphicData>
            </a:graphic>
          </wp:inline>
        </w:drawing>
      </w:r>
    </w:p>
    <w:p w14:paraId="0E86B5CE" w14:textId="77777777" w:rsidR="006F646F" w:rsidRPr="00CB4950" w:rsidRDefault="006F646F" w:rsidP="006F646F">
      <w:pPr>
        <w:rPr>
          <w:rFonts w:eastAsia="Calibri" w:cs="Arial"/>
        </w:rPr>
      </w:pPr>
      <w:bookmarkStart w:id="271" w:name="_Toc128666903"/>
      <w:r w:rsidRPr="00CB4950">
        <w:rPr>
          <w:rFonts w:eastAsia="Calibri" w:cs="Arial"/>
        </w:rPr>
        <w:t>From the table above, the population of the specified area did not increase more than 2% Year over Year in any consecutive two-year interval in the CY2000-2019 period.</w:t>
      </w:r>
      <w:bookmarkEnd w:id="271"/>
    </w:p>
    <w:p w14:paraId="60F95FE6" w14:textId="77777777" w:rsidR="006F646F" w:rsidRPr="00CB4950" w:rsidRDefault="006F646F" w:rsidP="006F646F">
      <w:pPr>
        <w:rPr>
          <w:rFonts w:eastAsia="Calibri" w:cs="Arial"/>
        </w:rPr>
      </w:pPr>
      <w:bookmarkStart w:id="272" w:name="_Toc128666904"/>
      <w:proofErr w:type="gramStart"/>
      <w:r w:rsidRPr="00CB4950">
        <w:rPr>
          <w:rFonts w:eastAsia="Calibri" w:cs="Arial"/>
        </w:rPr>
        <w:t>Therefore</w:t>
      </w:r>
      <w:proofErr w:type="gramEnd"/>
      <w:r w:rsidRPr="00CB4950">
        <w:rPr>
          <w:rFonts w:eastAsia="Calibri" w:cs="Arial"/>
        </w:rPr>
        <w:t xml:space="preserve"> the mathematical value of the 2000 Intake Threshold defined in Section 8 of the 2000 Landfill Franchise Agreement is equal to the initial (CY2000) values of 600,000 tons per calendar year or 1,200,000 cumulative tons over any period of two consecutive calendar years, with each figure increased at a rate of 2% per calendar year.  The calculated yearly values of the 2000 Intake Threshold are detailed in the table above.</w:t>
      </w:r>
      <w:bookmarkEnd w:id="272"/>
    </w:p>
    <w:p w14:paraId="59E0E002" w14:textId="77777777" w:rsidR="006F646F" w:rsidRPr="00CB4950" w:rsidRDefault="006F646F" w:rsidP="006F646F">
      <w:pPr>
        <w:keepNext/>
        <w:keepLines/>
        <w:spacing w:after="240" w:line="240" w:lineRule="auto"/>
        <w:outlineLvl w:val="1"/>
        <w:rPr>
          <w:rFonts w:ascii="Calibri" w:eastAsia="Times New Roman" w:hAnsi="Calibri" w:cs="Calibri"/>
          <w:color w:val="2E74B5"/>
          <w:sz w:val="24"/>
          <w:szCs w:val="24"/>
        </w:rPr>
      </w:pPr>
    </w:p>
    <w:p w14:paraId="22FE8452" w14:textId="77777777" w:rsidR="006F646F" w:rsidRPr="00CB4950" w:rsidRDefault="006F646F" w:rsidP="006F646F">
      <w:pPr>
        <w:keepNext/>
        <w:keepLines/>
        <w:spacing w:after="240" w:line="240" w:lineRule="auto"/>
        <w:outlineLvl w:val="1"/>
        <w:rPr>
          <w:rFonts w:ascii="Calibri" w:eastAsia="Times New Roman" w:hAnsi="Calibri" w:cs="Calibri"/>
          <w:color w:val="2E74B5"/>
          <w:sz w:val="24"/>
          <w:szCs w:val="24"/>
        </w:rPr>
      </w:pPr>
    </w:p>
    <w:p w14:paraId="1926FE3B" w14:textId="77777777" w:rsidR="006F646F" w:rsidRPr="00CB4950" w:rsidRDefault="006F646F" w:rsidP="006F646F">
      <w:pPr>
        <w:rPr>
          <w:rFonts w:ascii="Calibri" w:eastAsia="Times New Roman" w:hAnsi="Calibri" w:cs="Calibri"/>
          <w:color w:val="2E74B5"/>
          <w:sz w:val="24"/>
          <w:szCs w:val="24"/>
        </w:rPr>
      </w:pPr>
      <w:r w:rsidRPr="00CB4950">
        <w:rPr>
          <w:rFonts w:ascii="Calibri" w:eastAsia="Calibri" w:hAnsi="Calibri" w:cs="Calibri"/>
          <w:sz w:val="24"/>
          <w:szCs w:val="24"/>
        </w:rPr>
        <w:br w:type="page"/>
      </w:r>
    </w:p>
    <w:p w14:paraId="07F3D901" w14:textId="77777777" w:rsidR="006F646F" w:rsidRPr="00CB4950" w:rsidRDefault="006F646F" w:rsidP="006F646F">
      <w:pPr>
        <w:keepNext/>
        <w:keepLines/>
        <w:spacing w:after="240" w:line="240" w:lineRule="auto"/>
        <w:outlineLvl w:val="1"/>
        <w:rPr>
          <w:rFonts w:ascii="Calibri" w:eastAsia="Times New Roman" w:hAnsi="Calibri" w:cs="Calibri"/>
          <w:color w:val="2E74B5"/>
          <w:sz w:val="24"/>
          <w:szCs w:val="24"/>
        </w:rPr>
      </w:pPr>
      <w:bookmarkStart w:id="273" w:name="_Toc128666905"/>
      <w:bookmarkStart w:id="274" w:name="_Toc128669093"/>
      <w:commentRangeStart w:id="275"/>
      <w:commentRangeStart w:id="276"/>
      <w:r w:rsidRPr="00CB4950">
        <w:rPr>
          <w:rFonts w:ascii="Calibri" w:eastAsia="Times New Roman" w:hAnsi="Calibri" w:cs="Calibri"/>
          <w:color w:val="2E74B5"/>
          <w:sz w:val="24"/>
          <w:szCs w:val="24"/>
        </w:rPr>
        <w:t>Appendix C: Landfill Properties</w:t>
      </w:r>
      <w:commentRangeEnd w:id="275"/>
      <w:r w:rsidRPr="00CB4950">
        <w:rPr>
          <w:rFonts w:ascii="Calibri" w:eastAsia="Calibri" w:hAnsi="Calibri" w:cs="Calibri"/>
          <w:color w:val="2E74B5"/>
          <w:sz w:val="24"/>
          <w:szCs w:val="24"/>
        </w:rPr>
        <w:commentReference w:id="275"/>
      </w:r>
      <w:commentRangeEnd w:id="276"/>
      <w:r w:rsidRPr="00CB4950">
        <w:rPr>
          <w:rFonts w:ascii="Calibri" w:eastAsia="Times New Roman" w:hAnsi="Calibri" w:cs="Calibri"/>
          <w:color w:val="2E74B5"/>
          <w:sz w:val="24"/>
          <w:szCs w:val="24"/>
        </w:rPr>
        <w:commentReference w:id="276"/>
      </w:r>
      <w:bookmarkEnd w:id="273"/>
      <w:bookmarkEnd w:id="274"/>
    </w:p>
    <w:p w14:paraId="30D8BE5A" w14:textId="77777777" w:rsidR="006F646F" w:rsidRPr="00CB4950" w:rsidRDefault="006F646F" w:rsidP="006F646F">
      <w:pPr>
        <w:spacing w:after="0" w:line="240" w:lineRule="auto"/>
        <w:jc w:val="center"/>
        <w:rPr>
          <w:rFonts w:ascii="Calibri" w:eastAsia="Times New Roman" w:hAnsi="Calibri" w:cs="Calibri"/>
          <w:b/>
          <w:color w:val="000000"/>
          <w:sz w:val="24"/>
          <w:szCs w:val="24"/>
        </w:rPr>
        <w:sectPr w:rsidR="006F646F" w:rsidRPr="00CB4950" w:rsidSect="008B5B8D">
          <w:type w:val="nextColumn"/>
          <w:pgSz w:w="15840" w:h="12240" w:orient="landscape"/>
          <w:pgMar w:top="1008" w:right="1440" w:bottom="1008" w:left="1440" w:header="720" w:footer="720" w:gutter="0"/>
          <w:cols w:space="720"/>
          <w:docGrid w:linePitch="360"/>
        </w:sectPr>
      </w:pPr>
    </w:p>
    <w:tbl>
      <w:tblPr>
        <w:tblW w:w="12940" w:type="dxa"/>
        <w:tblLook w:val="04A0" w:firstRow="1" w:lastRow="0" w:firstColumn="1" w:lastColumn="0" w:noHBand="0" w:noVBand="1"/>
      </w:tblPr>
      <w:tblGrid>
        <w:gridCol w:w="1128"/>
        <w:gridCol w:w="1685"/>
        <w:gridCol w:w="1506"/>
        <w:gridCol w:w="1537"/>
        <w:gridCol w:w="3697"/>
        <w:gridCol w:w="3387"/>
      </w:tblGrid>
      <w:tr w:rsidR="006F646F" w:rsidRPr="00CB4950" w14:paraId="79632E0C" w14:textId="77777777" w:rsidTr="00CD02A5">
        <w:trPr>
          <w:trHeight w:val="315"/>
          <w:tblHeader/>
        </w:trPr>
        <w:tc>
          <w:tcPr>
            <w:tcW w:w="12940" w:type="dxa"/>
            <w:gridSpan w:val="6"/>
            <w:tcBorders>
              <w:top w:val="single" w:sz="8" w:space="0" w:color="auto"/>
              <w:left w:val="single" w:sz="8" w:space="0" w:color="auto"/>
              <w:bottom w:val="single" w:sz="8" w:space="0" w:color="auto"/>
              <w:right w:val="single" w:sz="8" w:space="0" w:color="000000"/>
            </w:tcBorders>
            <w:vAlign w:val="center"/>
          </w:tcPr>
          <w:p w14:paraId="060B4503" w14:textId="77777777" w:rsidR="006F646F" w:rsidRPr="00CB4950" w:rsidRDefault="006F646F" w:rsidP="00CD02A5">
            <w:pPr>
              <w:spacing w:after="0" w:line="240" w:lineRule="auto"/>
              <w:jc w:val="center"/>
              <w:rPr>
                <w:rFonts w:ascii="Calibri" w:eastAsia="Times New Roman" w:hAnsi="Calibri" w:cs="Calibri"/>
                <w:b/>
                <w:color w:val="000000"/>
                <w:sz w:val="24"/>
                <w:szCs w:val="24"/>
              </w:rPr>
            </w:pPr>
            <w:r w:rsidRPr="00CB4950">
              <w:rPr>
                <w:rFonts w:ascii="Calibri" w:eastAsia="Times New Roman" w:hAnsi="Calibri" w:cs="Calibri"/>
                <w:b/>
                <w:color w:val="000000"/>
                <w:sz w:val="24"/>
                <w:szCs w:val="24"/>
              </w:rPr>
              <w:t>Coffin Butte Landfill Properties</w:t>
            </w:r>
          </w:p>
        </w:tc>
      </w:tr>
      <w:tr w:rsidR="006F646F" w:rsidRPr="00CB4950" w14:paraId="04461C8C" w14:textId="77777777" w:rsidTr="00CD02A5">
        <w:trPr>
          <w:trHeight w:val="610"/>
          <w:tblHeader/>
        </w:trPr>
        <w:tc>
          <w:tcPr>
            <w:tcW w:w="440" w:type="dxa"/>
            <w:tcBorders>
              <w:top w:val="nil"/>
              <w:left w:val="single" w:sz="8" w:space="0" w:color="auto"/>
              <w:bottom w:val="single" w:sz="8" w:space="0" w:color="auto"/>
              <w:right w:val="single" w:sz="4" w:space="0" w:color="auto"/>
            </w:tcBorders>
            <w:shd w:val="clear" w:color="000000" w:fill="F2F2F2"/>
            <w:vAlign w:val="center"/>
          </w:tcPr>
          <w:p w14:paraId="6CEA77C5" w14:textId="77777777" w:rsidR="006F646F" w:rsidRPr="00CB4950" w:rsidRDefault="006F646F" w:rsidP="00CD02A5">
            <w:pPr>
              <w:spacing w:after="0" w:line="240" w:lineRule="auto"/>
              <w:rPr>
                <w:rFonts w:ascii="Calibri" w:eastAsia="Times New Roman" w:hAnsi="Calibri" w:cs="Calibri"/>
                <w:b/>
                <w:color w:val="000000"/>
                <w:sz w:val="24"/>
                <w:szCs w:val="24"/>
              </w:rPr>
            </w:pPr>
          </w:p>
        </w:tc>
        <w:tc>
          <w:tcPr>
            <w:tcW w:w="1563" w:type="dxa"/>
            <w:tcBorders>
              <w:top w:val="nil"/>
              <w:left w:val="single" w:sz="8" w:space="0" w:color="auto"/>
              <w:bottom w:val="single" w:sz="8" w:space="0" w:color="auto"/>
              <w:right w:val="single" w:sz="4" w:space="0" w:color="auto"/>
            </w:tcBorders>
            <w:shd w:val="clear" w:color="000000" w:fill="F2F2F2"/>
            <w:vAlign w:val="center"/>
            <w:hideMark/>
          </w:tcPr>
          <w:p w14:paraId="7A01B2AE" w14:textId="77777777" w:rsidR="006F646F" w:rsidRPr="00CB4950" w:rsidRDefault="006F646F" w:rsidP="00CD02A5">
            <w:pPr>
              <w:spacing w:after="0" w:line="240" w:lineRule="auto"/>
              <w:rPr>
                <w:rFonts w:ascii="Calibri" w:eastAsia="Times New Roman" w:hAnsi="Calibri" w:cs="Calibri"/>
                <w:b/>
                <w:color w:val="000000"/>
                <w:sz w:val="24"/>
                <w:szCs w:val="24"/>
              </w:rPr>
            </w:pPr>
            <w:r w:rsidRPr="00CB4950">
              <w:rPr>
                <w:rFonts w:ascii="Calibri" w:eastAsia="Times New Roman" w:hAnsi="Calibri" w:cs="Calibri"/>
                <w:b/>
                <w:color w:val="000000"/>
                <w:sz w:val="24"/>
                <w:szCs w:val="24"/>
              </w:rPr>
              <w:t>Tax Lot #</w:t>
            </w:r>
          </w:p>
        </w:tc>
        <w:tc>
          <w:tcPr>
            <w:tcW w:w="1398" w:type="dxa"/>
            <w:tcBorders>
              <w:top w:val="nil"/>
              <w:left w:val="nil"/>
              <w:bottom w:val="single" w:sz="8" w:space="0" w:color="auto"/>
              <w:right w:val="single" w:sz="4" w:space="0" w:color="auto"/>
            </w:tcBorders>
            <w:shd w:val="clear" w:color="000000" w:fill="F2F2F2"/>
            <w:vAlign w:val="center"/>
            <w:hideMark/>
          </w:tcPr>
          <w:p w14:paraId="2E30AFA1" w14:textId="77777777" w:rsidR="006F646F" w:rsidRPr="00CB4950" w:rsidRDefault="006F646F" w:rsidP="00CD02A5">
            <w:pPr>
              <w:spacing w:after="0" w:line="240" w:lineRule="auto"/>
              <w:rPr>
                <w:rFonts w:ascii="Calibri" w:eastAsia="Times New Roman" w:hAnsi="Calibri" w:cs="Calibri"/>
                <w:b/>
                <w:color w:val="000000"/>
                <w:sz w:val="24"/>
                <w:szCs w:val="24"/>
              </w:rPr>
            </w:pPr>
            <w:r w:rsidRPr="00CB4950">
              <w:rPr>
                <w:rFonts w:ascii="Calibri" w:eastAsia="Times New Roman" w:hAnsi="Calibri" w:cs="Calibri"/>
                <w:b/>
                <w:color w:val="000000"/>
                <w:sz w:val="24"/>
                <w:szCs w:val="24"/>
              </w:rPr>
              <w:t>Current Zone</w:t>
            </w:r>
          </w:p>
        </w:tc>
        <w:tc>
          <w:tcPr>
            <w:tcW w:w="1427" w:type="dxa"/>
            <w:tcBorders>
              <w:top w:val="nil"/>
              <w:left w:val="nil"/>
              <w:bottom w:val="single" w:sz="8" w:space="0" w:color="auto"/>
              <w:right w:val="single" w:sz="8" w:space="0" w:color="auto"/>
            </w:tcBorders>
            <w:shd w:val="clear" w:color="000000" w:fill="F2F2F2"/>
            <w:vAlign w:val="center"/>
          </w:tcPr>
          <w:p w14:paraId="1CCE750E" w14:textId="77777777" w:rsidR="006F646F" w:rsidRPr="00CB4950" w:rsidRDefault="006F646F" w:rsidP="00CD02A5">
            <w:pPr>
              <w:spacing w:after="0" w:line="240" w:lineRule="auto"/>
              <w:rPr>
                <w:rFonts w:ascii="Calibri" w:eastAsia="Times New Roman" w:hAnsi="Calibri" w:cs="Calibri"/>
                <w:b/>
                <w:color w:val="000000"/>
                <w:sz w:val="24"/>
                <w:szCs w:val="24"/>
              </w:rPr>
            </w:pPr>
            <w:r w:rsidRPr="00CB4950">
              <w:rPr>
                <w:rFonts w:ascii="Calibri" w:eastAsia="Times New Roman" w:hAnsi="Calibri" w:cs="Calibri"/>
                <w:b/>
                <w:color w:val="000000"/>
                <w:sz w:val="24"/>
                <w:szCs w:val="24"/>
              </w:rPr>
              <w:t>Previous Zone (Change Date)</w:t>
            </w:r>
          </w:p>
        </w:tc>
        <w:tc>
          <w:tcPr>
            <w:tcW w:w="4522" w:type="dxa"/>
            <w:tcBorders>
              <w:top w:val="nil"/>
              <w:left w:val="single" w:sz="2" w:space="0" w:color="auto"/>
              <w:bottom w:val="single" w:sz="8" w:space="0" w:color="auto"/>
              <w:right w:val="single" w:sz="2" w:space="0" w:color="auto"/>
            </w:tcBorders>
            <w:shd w:val="clear" w:color="000000" w:fill="F2F2F2"/>
            <w:vAlign w:val="center"/>
          </w:tcPr>
          <w:p w14:paraId="376D4B17" w14:textId="77777777" w:rsidR="006F646F" w:rsidRPr="00CB4950" w:rsidRDefault="006F646F" w:rsidP="00CD02A5">
            <w:pPr>
              <w:spacing w:after="0" w:line="240" w:lineRule="auto"/>
              <w:rPr>
                <w:rFonts w:ascii="Calibri" w:eastAsia="Times New Roman" w:hAnsi="Calibri" w:cs="Calibri"/>
                <w:b/>
                <w:color w:val="000000"/>
                <w:sz w:val="24"/>
                <w:szCs w:val="24"/>
              </w:rPr>
            </w:pPr>
            <w:commentRangeStart w:id="277"/>
            <w:commentRangeStart w:id="278"/>
            <w:r w:rsidRPr="00CB4950">
              <w:rPr>
                <w:rFonts w:ascii="Calibri" w:eastAsia="Times New Roman" w:hAnsi="Calibri" w:cs="Calibri"/>
                <w:b/>
                <w:color w:val="000000"/>
                <w:sz w:val="24"/>
                <w:szCs w:val="24"/>
              </w:rPr>
              <w:t>Property Use</w:t>
            </w:r>
            <w:commentRangeEnd w:id="277"/>
            <w:r w:rsidRPr="00CB4950">
              <w:rPr>
                <w:rFonts w:ascii="Calibri" w:eastAsia="Calibri" w:hAnsi="Calibri" w:cs="Calibri"/>
                <w:sz w:val="24"/>
                <w:szCs w:val="24"/>
              </w:rPr>
              <w:commentReference w:id="277"/>
            </w:r>
            <w:commentRangeEnd w:id="278"/>
            <w:r w:rsidRPr="00CB4950">
              <w:rPr>
                <w:rFonts w:ascii="Calibri" w:eastAsia="Calibri" w:hAnsi="Calibri" w:cs="Calibri"/>
                <w:sz w:val="24"/>
                <w:szCs w:val="24"/>
              </w:rPr>
              <w:commentReference w:id="278"/>
            </w:r>
          </w:p>
        </w:tc>
        <w:tc>
          <w:tcPr>
            <w:tcW w:w="3590" w:type="dxa"/>
            <w:tcBorders>
              <w:top w:val="nil"/>
              <w:left w:val="single" w:sz="2" w:space="0" w:color="auto"/>
              <w:bottom w:val="single" w:sz="8" w:space="0" w:color="auto"/>
              <w:right w:val="single" w:sz="2" w:space="0" w:color="auto"/>
            </w:tcBorders>
            <w:shd w:val="clear" w:color="000000" w:fill="F2F2F2"/>
            <w:vAlign w:val="center"/>
          </w:tcPr>
          <w:p w14:paraId="76E68340" w14:textId="77777777" w:rsidR="006F646F" w:rsidRPr="00CB4950" w:rsidRDefault="006F646F" w:rsidP="00CD02A5">
            <w:pPr>
              <w:spacing w:after="0" w:line="240" w:lineRule="auto"/>
              <w:rPr>
                <w:rFonts w:ascii="Calibri" w:eastAsia="Times New Roman" w:hAnsi="Calibri" w:cs="Calibri"/>
                <w:b/>
                <w:color w:val="000000"/>
                <w:sz w:val="24"/>
                <w:szCs w:val="24"/>
              </w:rPr>
            </w:pPr>
            <w:r w:rsidRPr="00CB4950">
              <w:rPr>
                <w:rFonts w:ascii="Calibri" w:eastAsia="Times New Roman" w:hAnsi="Calibri" w:cs="Calibri"/>
                <w:b/>
                <w:color w:val="000000"/>
                <w:sz w:val="24"/>
                <w:szCs w:val="24"/>
              </w:rPr>
              <w:t>Date Acquired and Ownership</w:t>
            </w:r>
          </w:p>
        </w:tc>
      </w:tr>
      <w:tr w:rsidR="006F646F" w:rsidRPr="00CB4950" w14:paraId="4F9A2911"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10C1E8B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7A09CE1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105130000901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6533E36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12A7D64A"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Calibri" w:hAnsi="Calibri" w:cs="Calibri"/>
                <w:sz w:val="24"/>
                <w:szCs w:val="24"/>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4BD48FA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Agriculture</w:t>
            </w:r>
          </w:p>
        </w:tc>
        <w:tc>
          <w:tcPr>
            <w:tcW w:w="3590" w:type="dxa"/>
            <w:tcBorders>
              <w:top w:val="nil"/>
              <w:left w:val="single" w:sz="2" w:space="0" w:color="auto"/>
              <w:bottom w:val="single" w:sz="4" w:space="0" w:color="auto"/>
              <w:right w:val="single" w:sz="2" w:space="0" w:color="auto"/>
            </w:tcBorders>
            <w:vAlign w:val="center"/>
          </w:tcPr>
          <w:p w14:paraId="3496D68D"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March 2001, Valley Landfills, Inc.</w:t>
            </w:r>
          </w:p>
          <w:p w14:paraId="19B1A881"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295810-01</w:t>
            </w:r>
          </w:p>
        </w:tc>
      </w:tr>
      <w:tr w:rsidR="006F646F" w:rsidRPr="00CB4950" w14:paraId="1AB7AC6D"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6826409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2</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1E891C1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105130000900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0D07E83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0364467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Calibri" w:hAnsi="Calibri" w:cs="Calibri"/>
                <w:sz w:val="24"/>
                <w:szCs w:val="24"/>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38F138A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Agriculture, barn</w:t>
            </w:r>
          </w:p>
        </w:tc>
        <w:tc>
          <w:tcPr>
            <w:tcW w:w="3590" w:type="dxa"/>
            <w:tcBorders>
              <w:top w:val="nil"/>
              <w:left w:val="single" w:sz="2" w:space="0" w:color="auto"/>
              <w:bottom w:val="single" w:sz="4" w:space="0" w:color="auto"/>
              <w:right w:val="single" w:sz="2" w:space="0" w:color="auto"/>
            </w:tcBorders>
            <w:vAlign w:val="center"/>
          </w:tcPr>
          <w:p w14:paraId="191803B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March 2001, Valley Landfills, Inc.</w:t>
            </w:r>
          </w:p>
          <w:p w14:paraId="4953462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295810-01</w:t>
            </w:r>
          </w:p>
        </w:tc>
      </w:tr>
      <w:tr w:rsidR="006F646F" w:rsidRPr="00CB4950" w14:paraId="74F3C6CF"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135E8C0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3</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2D2F4F8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105130000902</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0B0B87A1"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545ECFD4"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Calibri" w:hAnsi="Calibri" w:cs="Calibri"/>
                <w:sz w:val="24"/>
                <w:szCs w:val="24"/>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5457D586"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Agriculture</w:t>
            </w:r>
          </w:p>
        </w:tc>
        <w:tc>
          <w:tcPr>
            <w:tcW w:w="3590" w:type="dxa"/>
            <w:tcBorders>
              <w:top w:val="nil"/>
              <w:left w:val="single" w:sz="2" w:space="0" w:color="auto"/>
              <w:bottom w:val="single" w:sz="4" w:space="0" w:color="auto"/>
              <w:right w:val="single" w:sz="2" w:space="0" w:color="auto"/>
            </w:tcBorders>
            <w:vAlign w:val="center"/>
          </w:tcPr>
          <w:p w14:paraId="48A769E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March 2001, Valley Landfills, Inc.</w:t>
            </w:r>
          </w:p>
          <w:p w14:paraId="5996457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295810-01</w:t>
            </w:r>
          </w:p>
        </w:tc>
      </w:tr>
      <w:tr w:rsidR="006F646F" w:rsidRPr="00CB4950" w14:paraId="64AE52A4"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471EF892"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4</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0A32DF2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105130001000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5CA83E33"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Landfill Site/ Forest Conservation (Northeast Corner)</w:t>
            </w:r>
          </w:p>
        </w:tc>
        <w:tc>
          <w:tcPr>
            <w:tcW w:w="1427" w:type="dxa"/>
            <w:tcBorders>
              <w:top w:val="nil"/>
              <w:left w:val="nil"/>
              <w:bottom w:val="single" w:sz="4" w:space="0" w:color="auto"/>
              <w:right w:val="single" w:sz="8" w:space="0" w:color="auto"/>
            </w:tcBorders>
            <w:shd w:val="clear" w:color="auto" w:fill="auto"/>
            <w:noWrap/>
            <w:vAlign w:val="center"/>
          </w:tcPr>
          <w:p w14:paraId="3D67129A"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3641834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Disposal Cell 1A, Cell 1, Cell 5, Future Cell 6, Current/Future Asbestos Disposal area, Rock quarry entrance and scale house (2021 SDP</w:t>
            </w:r>
            <w:proofErr w:type="gramStart"/>
            <w:r w:rsidRPr="00CB4950">
              <w:rPr>
                <w:rFonts w:ascii="Calibri" w:eastAsia="Times New Roman" w:hAnsi="Calibri" w:cs="Calibri"/>
                <w:color w:val="000000"/>
                <w:sz w:val="24"/>
                <w:szCs w:val="24"/>
              </w:rPr>
              <w:t>);</w:t>
            </w:r>
            <w:proofErr w:type="gramEnd"/>
          </w:p>
          <w:p w14:paraId="0A54F7E8"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Quarry excavation and landfilling in FC zone (2002)</w:t>
            </w:r>
          </w:p>
        </w:tc>
        <w:tc>
          <w:tcPr>
            <w:tcW w:w="3590" w:type="dxa"/>
            <w:tcBorders>
              <w:top w:val="nil"/>
              <w:left w:val="single" w:sz="2" w:space="0" w:color="auto"/>
              <w:bottom w:val="single" w:sz="4" w:space="0" w:color="auto"/>
              <w:right w:val="single" w:sz="2" w:space="0" w:color="auto"/>
            </w:tcBorders>
            <w:vAlign w:val="center"/>
          </w:tcPr>
          <w:p w14:paraId="78B747F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October 1974, Valley Landfills, Inc.</w:t>
            </w:r>
          </w:p>
          <w:p w14:paraId="2A50898D"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M-50855</w:t>
            </w:r>
          </w:p>
          <w:p w14:paraId="6EB9B053"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Consolidated with Tax Lot 105130000205 (4.69 ACRE) and Tax Lot 105130000204 (1.74 ACRE) in 1992</w:t>
            </w:r>
          </w:p>
        </w:tc>
      </w:tr>
      <w:tr w:rsidR="006F646F" w:rsidRPr="00CB4950" w14:paraId="202FEAE9"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0EA54C67" w14:textId="77777777" w:rsidR="006F646F" w:rsidRPr="00734E50" w:rsidRDefault="006F646F" w:rsidP="00CD02A5">
            <w:pPr>
              <w:spacing w:after="0" w:line="240" w:lineRule="auto"/>
              <w:rPr>
                <w:rFonts w:ascii="Calibri" w:eastAsia="Times New Roman" w:hAnsi="Calibri" w:cs="Calibri"/>
                <w:color w:val="000000"/>
                <w:sz w:val="24"/>
                <w:szCs w:val="24"/>
              </w:rPr>
            </w:pPr>
            <w:commentRangeStart w:id="279"/>
            <w:r w:rsidRPr="00734E50">
              <w:rPr>
                <w:rFonts w:ascii="Calibri" w:eastAsia="Times New Roman" w:hAnsi="Calibri" w:cs="Calibri"/>
                <w:color w:val="000000"/>
                <w:sz w:val="24"/>
                <w:szCs w:val="24"/>
              </w:rPr>
              <w:t>5</w:t>
            </w:r>
            <w:commentRangeEnd w:id="279"/>
            <w:r w:rsidRPr="00734E50">
              <w:rPr>
                <w:rFonts w:ascii="Calibri" w:eastAsia="Calibri" w:hAnsi="Calibri" w:cs="Calibri"/>
                <w:sz w:val="24"/>
                <w:szCs w:val="24"/>
              </w:rPr>
              <w:commentReference w:id="279"/>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7670B154"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104180001106</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5C4FE045"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Landfill Site</w:t>
            </w:r>
          </w:p>
        </w:tc>
        <w:tc>
          <w:tcPr>
            <w:tcW w:w="1427" w:type="dxa"/>
            <w:tcBorders>
              <w:top w:val="nil"/>
              <w:left w:val="nil"/>
              <w:bottom w:val="single" w:sz="4" w:space="0" w:color="auto"/>
              <w:right w:val="single" w:sz="8" w:space="0" w:color="auto"/>
            </w:tcBorders>
            <w:shd w:val="clear" w:color="auto" w:fill="auto"/>
            <w:noWrap/>
            <w:vAlign w:val="center"/>
          </w:tcPr>
          <w:p w14:paraId="7F5BA189"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7951093D"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Disposal Cell 1, Cell 3</w:t>
            </w:r>
          </w:p>
        </w:tc>
        <w:tc>
          <w:tcPr>
            <w:tcW w:w="3590" w:type="dxa"/>
            <w:tcBorders>
              <w:top w:val="nil"/>
              <w:left w:val="single" w:sz="2" w:space="0" w:color="auto"/>
              <w:bottom w:val="single" w:sz="4" w:space="0" w:color="auto"/>
              <w:right w:val="single" w:sz="2" w:space="0" w:color="auto"/>
            </w:tcBorders>
            <w:vAlign w:val="center"/>
          </w:tcPr>
          <w:p w14:paraId="34DC6EC2"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November 1994, Valley Landfill, Inc.</w:t>
            </w:r>
          </w:p>
          <w:p w14:paraId="0791DD39"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Deed M-192291-94</w:t>
            </w:r>
          </w:p>
          <w:p w14:paraId="36DE7786"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xml:space="preserve">Segregated Parcels 104180001108 (29.22 AC) &amp; 104180001109 (51.39 AC) in 2011. Went from 100 acres to </w:t>
            </w:r>
            <w:proofErr w:type="gramStart"/>
            <w:r w:rsidRPr="00734E50">
              <w:rPr>
                <w:rFonts w:ascii="Calibri" w:eastAsia="Times New Roman" w:hAnsi="Calibri" w:cs="Calibri"/>
                <w:color w:val="000000"/>
                <w:sz w:val="24"/>
                <w:szCs w:val="24"/>
              </w:rPr>
              <w:t>20.15</w:t>
            </w:r>
            <w:proofErr w:type="gramEnd"/>
          </w:p>
          <w:p w14:paraId="01E097E5" w14:textId="0F9C2660" w:rsidR="00734E50" w:rsidRPr="00734E50" w:rsidRDefault="00734E50"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This property was likely purchased by the landfill owner prior to 1983, however, that information was unavailable at the time of this report.</w:t>
            </w:r>
          </w:p>
        </w:tc>
      </w:tr>
      <w:tr w:rsidR="006F646F" w:rsidRPr="00CB4950" w14:paraId="487B41E0"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6953A16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6</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48638BBD"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104180000301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2DF4A8A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Landfill Site (South)/ Forest Conservation (North)</w:t>
            </w:r>
          </w:p>
        </w:tc>
        <w:tc>
          <w:tcPr>
            <w:tcW w:w="1427" w:type="dxa"/>
            <w:tcBorders>
              <w:top w:val="nil"/>
              <w:left w:val="nil"/>
              <w:bottom w:val="single" w:sz="4" w:space="0" w:color="auto"/>
              <w:right w:val="single" w:sz="8" w:space="0" w:color="auto"/>
            </w:tcBorders>
            <w:shd w:val="clear" w:color="auto" w:fill="auto"/>
            <w:noWrap/>
            <w:vAlign w:val="center"/>
          </w:tcPr>
          <w:p w14:paraId="1DF6E41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2398FC88"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Disposal Cell 5 and forested hillside</w:t>
            </w:r>
          </w:p>
        </w:tc>
        <w:tc>
          <w:tcPr>
            <w:tcW w:w="3590" w:type="dxa"/>
            <w:tcBorders>
              <w:top w:val="nil"/>
              <w:left w:val="single" w:sz="2" w:space="0" w:color="auto"/>
              <w:bottom w:val="single" w:sz="4" w:space="0" w:color="auto"/>
              <w:right w:val="single" w:sz="2" w:space="0" w:color="auto"/>
            </w:tcBorders>
            <w:vAlign w:val="center"/>
          </w:tcPr>
          <w:p w14:paraId="3F1CAD6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March 1978, Valley Landfills, Inc.</w:t>
            </w:r>
          </w:p>
          <w:p w14:paraId="4A34DA2D"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M-91774</w:t>
            </w:r>
          </w:p>
          <w:p w14:paraId="68A2CC0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Segregated from 104180000300 in 1972</w:t>
            </w:r>
          </w:p>
        </w:tc>
      </w:tr>
      <w:tr w:rsidR="006F646F" w:rsidRPr="00CB4950" w14:paraId="06F067B2"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3B9B13D4"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7</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4754839B"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104180000801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1049B81D"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Landfill Site/ Forest Conservation</w:t>
            </w:r>
          </w:p>
        </w:tc>
        <w:tc>
          <w:tcPr>
            <w:tcW w:w="1427" w:type="dxa"/>
            <w:tcBorders>
              <w:top w:val="nil"/>
              <w:left w:val="nil"/>
              <w:bottom w:val="single" w:sz="4" w:space="0" w:color="auto"/>
              <w:right w:val="single" w:sz="8" w:space="0" w:color="auto"/>
            </w:tcBorders>
            <w:shd w:val="clear" w:color="auto" w:fill="auto"/>
            <w:noWrap/>
            <w:vAlign w:val="center"/>
          </w:tcPr>
          <w:p w14:paraId="7728EC1A"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77F68ACB"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xml:space="preserve">Disposal Cell 2, Cell 3, Cell 4, Cell 5, </w:t>
            </w:r>
          </w:p>
          <w:p w14:paraId="48377692"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xml:space="preserve">Scale house, public disposal area, stormwater ponds, bioswale, </w:t>
            </w:r>
            <w:proofErr w:type="spellStart"/>
            <w:r w:rsidRPr="00734E50">
              <w:rPr>
                <w:rFonts w:ascii="Calibri" w:eastAsia="Times New Roman" w:hAnsi="Calibri" w:cs="Calibri"/>
                <w:color w:val="000000"/>
                <w:sz w:val="24"/>
                <w:szCs w:val="24"/>
              </w:rPr>
              <w:t>Toretie</w:t>
            </w:r>
            <w:proofErr w:type="spellEnd"/>
            <w:r w:rsidRPr="00734E50">
              <w:rPr>
                <w:rFonts w:ascii="Calibri" w:eastAsia="Times New Roman" w:hAnsi="Calibri" w:cs="Calibri"/>
                <w:color w:val="000000"/>
                <w:sz w:val="24"/>
                <w:szCs w:val="24"/>
              </w:rPr>
              <w:t xml:space="preserve"> Marsh (2021 SDP</w:t>
            </w:r>
            <w:proofErr w:type="gramStart"/>
            <w:r w:rsidRPr="00734E50">
              <w:rPr>
                <w:rFonts w:ascii="Calibri" w:eastAsia="Times New Roman" w:hAnsi="Calibri" w:cs="Calibri"/>
                <w:color w:val="000000"/>
                <w:sz w:val="24"/>
                <w:szCs w:val="24"/>
              </w:rPr>
              <w:t>);</w:t>
            </w:r>
            <w:proofErr w:type="gramEnd"/>
          </w:p>
          <w:p w14:paraId="12CC9D60"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landfilling in FC zone (2003</w:t>
            </w:r>
            <w:proofErr w:type="gramStart"/>
            <w:r w:rsidRPr="00734E50">
              <w:rPr>
                <w:rFonts w:ascii="Calibri" w:eastAsia="Times New Roman" w:hAnsi="Calibri" w:cs="Calibri"/>
                <w:color w:val="000000"/>
                <w:sz w:val="24"/>
                <w:szCs w:val="24"/>
              </w:rPr>
              <w:t>);</w:t>
            </w:r>
            <w:proofErr w:type="gramEnd"/>
            <w:r w:rsidRPr="00734E50">
              <w:rPr>
                <w:rFonts w:ascii="Calibri" w:eastAsia="Times New Roman" w:hAnsi="Calibri" w:cs="Calibri"/>
                <w:color w:val="000000"/>
                <w:sz w:val="24"/>
                <w:szCs w:val="24"/>
              </w:rPr>
              <w:t xml:space="preserve"> </w:t>
            </w:r>
          </w:p>
          <w:p w14:paraId="4EBE39A6"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xml:space="preserve">transfer facility, stormwater conveyance/detention, container/drop box storage area, landfill construction staging/storage area (2011) </w:t>
            </w:r>
          </w:p>
        </w:tc>
        <w:tc>
          <w:tcPr>
            <w:tcW w:w="3590" w:type="dxa"/>
            <w:tcBorders>
              <w:top w:val="nil"/>
              <w:left w:val="single" w:sz="2" w:space="0" w:color="auto"/>
              <w:bottom w:val="single" w:sz="4" w:space="0" w:color="auto"/>
              <w:right w:val="single" w:sz="2" w:space="0" w:color="auto"/>
            </w:tcBorders>
            <w:vAlign w:val="center"/>
          </w:tcPr>
          <w:p w14:paraId="72B683F9" w14:textId="77777777" w:rsidR="006F646F" w:rsidRPr="00734E50" w:rsidRDefault="006F646F" w:rsidP="00CD02A5">
            <w:pPr>
              <w:spacing w:after="0" w:line="240" w:lineRule="auto"/>
              <w:rPr>
                <w:rFonts w:ascii="Calibri" w:eastAsia="Times New Roman" w:hAnsi="Calibri" w:cs="Calibri"/>
                <w:color w:val="000000"/>
                <w:sz w:val="24"/>
                <w:szCs w:val="24"/>
              </w:rPr>
            </w:pPr>
            <w:commentRangeStart w:id="280"/>
            <w:commentRangeStart w:id="281"/>
            <w:r w:rsidRPr="00734E50">
              <w:rPr>
                <w:rFonts w:ascii="Calibri" w:eastAsia="Times New Roman" w:hAnsi="Calibri" w:cs="Calibri"/>
                <w:color w:val="000000"/>
                <w:sz w:val="24"/>
                <w:szCs w:val="24"/>
              </w:rPr>
              <w:t>July 1988</w:t>
            </w:r>
            <w:commentRangeEnd w:id="280"/>
            <w:r w:rsidRPr="00734E50">
              <w:rPr>
                <w:rFonts w:ascii="Calibri" w:eastAsia="Calibri" w:hAnsi="Calibri" w:cs="Calibri"/>
                <w:sz w:val="24"/>
                <w:szCs w:val="24"/>
              </w:rPr>
              <w:commentReference w:id="280"/>
            </w:r>
            <w:commentRangeEnd w:id="281"/>
            <w:r w:rsidRPr="00734E50">
              <w:rPr>
                <w:rFonts w:ascii="Calibri" w:eastAsia="Calibri" w:hAnsi="Calibri" w:cs="Calibri"/>
                <w:sz w:val="24"/>
                <w:szCs w:val="24"/>
              </w:rPr>
              <w:commentReference w:id="281"/>
            </w:r>
            <w:r w:rsidRPr="00734E50">
              <w:rPr>
                <w:rFonts w:ascii="Calibri" w:eastAsia="Times New Roman" w:hAnsi="Calibri" w:cs="Calibri"/>
                <w:color w:val="000000"/>
                <w:sz w:val="24"/>
                <w:szCs w:val="24"/>
              </w:rPr>
              <w:t>, Valley Landfills, Inc</w:t>
            </w:r>
          </w:p>
          <w:p w14:paraId="5EF1CC29"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Deed M-102558-88</w:t>
            </w:r>
          </w:p>
          <w:p w14:paraId="78886D19"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Segregated from 104180000800 in 1988</w:t>
            </w:r>
          </w:p>
          <w:p w14:paraId="7D321F87" w14:textId="24CE61A7" w:rsidR="00734E50" w:rsidRPr="00734E50" w:rsidRDefault="00734E50"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This property was likely purchased by the landfill owner prior to 1983, however, that information was unavailable at the time of this report.</w:t>
            </w:r>
          </w:p>
        </w:tc>
      </w:tr>
      <w:tr w:rsidR="006F646F" w:rsidRPr="00CB4950" w14:paraId="368DAA97"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4FC6CFA3"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8</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19186DFE"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104180001108</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59407194"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Landfill Site</w:t>
            </w:r>
          </w:p>
        </w:tc>
        <w:tc>
          <w:tcPr>
            <w:tcW w:w="1427" w:type="dxa"/>
            <w:tcBorders>
              <w:top w:val="nil"/>
              <w:left w:val="nil"/>
              <w:bottom w:val="single" w:sz="4" w:space="0" w:color="auto"/>
              <w:right w:val="single" w:sz="8" w:space="0" w:color="auto"/>
            </w:tcBorders>
            <w:shd w:val="clear" w:color="auto" w:fill="auto"/>
            <w:noWrap/>
            <w:vAlign w:val="center"/>
          </w:tcPr>
          <w:p w14:paraId="18521F79"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218E1D3B"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xml:space="preserve">Disposal Cell 4, </w:t>
            </w:r>
          </w:p>
          <w:p w14:paraId="640423B8"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xml:space="preserve">Entrance, stormwater pond, </w:t>
            </w:r>
            <w:proofErr w:type="spellStart"/>
            <w:r w:rsidRPr="00734E50">
              <w:rPr>
                <w:rFonts w:ascii="Calibri" w:eastAsia="Times New Roman" w:hAnsi="Calibri" w:cs="Calibri"/>
                <w:color w:val="000000"/>
                <w:sz w:val="24"/>
                <w:szCs w:val="24"/>
              </w:rPr>
              <w:t>Toretie</w:t>
            </w:r>
            <w:proofErr w:type="spellEnd"/>
            <w:r w:rsidRPr="00734E50">
              <w:rPr>
                <w:rFonts w:ascii="Calibri" w:eastAsia="Times New Roman" w:hAnsi="Calibri" w:cs="Calibri"/>
                <w:color w:val="000000"/>
                <w:sz w:val="24"/>
                <w:szCs w:val="24"/>
              </w:rPr>
              <w:t xml:space="preserve"> Marsh (2021 SDP)</w:t>
            </w:r>
          </w:p>
          <w:p w14:paraId="0DDB2808" w14:textId="77777777" w:rsidR="006F646F" w:rsidRPr="00734E50" w:rsidRDefault="006F646F" w:rsidP="00CD02A5">
            <w:pPr>
              <w:spacing w:after="0" w:line="240" w:lineRule="auto"/>
              <w:rPr>
                <w:rFonts w:ascii="Calibri" w:eastAsia="Times New Roman" w:hAnsi="Calibri" w:cs="Calibri"/>
                <w:color w:val="000000"/>
                <w:sz w:val="24"/>
                <w:szCs w:val="24"/>
              </w:rPr>
            </w:pPr>
          </w:p>
          <w:p w14:paraId="2B9B7ABF" w14:textId="77777777" w:rsidR="006F646F" w:rsidRPr="00734E50" w:rsidRDefault="006F646F" w:rsidP="00CD02A5">
            <w:pPr>
              <w:spacing w:after="0" w:line="240" w:lineRule="auto"/>
              <w:rPr>
                <w:rFonts w:ascii="Calibri" w:eastAsia="Times New Roman" w:hAnsi="Calibri" w:cs="Calibri"/>
                <w:color w:val="000000"/>
                <w:sz w:val="24"/>
                <w:szCs w:val="24"/>
              </w:rPr>
            </w:pPr>
          </w:p>
        </w:tc>
        <w:tc>
          <w:tcPr>
            <w:tcW w:w="3590" w:type="dxa"/>
            <w:tcBorders>
              <w:top w:val="nil"/>
              <w:left w:val="single" w:sz="2" w:space="0" w:color="auto"/>
              <w:bottom w:val="single" w:sz="4" w:space="0" w:color="auto"/>
              <w:right w:val="single" w:sz="2" w:space="0" w:color="auto"/>
            </w:tcBorders>
            <w:vAlign w:val="center"/>
          </w:tcPr>
          <w:p w14:paraId="06C0C1F0"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November 1994, Valley Landfill, Inc.</w:t>
            </w:r>
          </w:p>
          <w:p w14:paraId="2BDCD1C8"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Deed M-192291-94</w:t>
            </w:r>
          </w:p>
          <w:p w14:paraId="5A0168CE"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Segregated from 104180001106 in 2011</w:t>
            </w:r>
          </w:p>
          <w:p w14:paraId="5168A4F8" w14:textId="031E87F2" w:rsidR="00734E50" w:rsidRPr="00734E50" w:rsidRDefault="00734E50"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This property was likely purchased by the landfill owner prior to 1983, however, that information was unavailable at the time of this report.</w:t>
            </w:r>
          </w:p>
        </w:tc>
      </w:tr>
      <w:tr w:rsidR="006F646F" w:rsidRPr="00CB4950" w14:paraId="3AEEB260"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73D63D4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9</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7CFA494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104180000900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28DAEDE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71E5BC83"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Calibri" w:hAnsi="Calibri" w:cs="Calibri"/>
                <w:sz w:val="24"/>
                <w:szCs w:val="24"/>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157DE8A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Wetland, pond</w:t>
            </w:r>
          </w:p>
        </w:tc>
        <w:tc>
          <w:tcPr>
            <w:tcW w:w="3590" w:type="dxa"/>
            <w:tcBorders>
              <w:top w:val="nil"/>
              <w:left w:val="single" w:sz="2" w:space="0" w:color="auto"/>
              <w:bottom w:val="single" w:sz="4" w:space="0" w:color="auto"/>
              <w:right w:val="single" w:sz="2" w:space="0" w:color="auto"/>
            </w:tcBorders>
            <w:vAlign w:val="center"/>
          </w:tcPr>
          <w:p w14:paraId="1A51FF7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July 1988, Valley Landfills, Inc.</w:t>
            </w:r>
          </w:p>
          <w:p w14:paraId="56C3558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1988-101891</w:t>
            </w:r>
          </w:p>
          <w:p w14:paraId="1EB5AE5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Segregated from 104180000800 in 1968</w:t>
            </w:r>
          </w:p>
        </w:tc>
      </w:tr>
      <w:tr w:rsidR="006F646F" w:rsidRPr="00CB4950" w14:paraId="3FB9782A"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723DD421"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48FFEC3A"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105130000800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1D1638D3"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788EC2A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Calibri" w:hAnsi="Calibri" w:cs="Calibri"/>
                <w:sz w:val="24"/>
                <w:szCs w:val="24"/>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17CD7B6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 xml:space="preserve">Stormwater treatment facility (pond and biofiltration strip) (2015), </w:t>
            </w:r>
          </w:p>
          <w:p w14:paraId="4102C01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Soap Creek, Agriculture</w:t>
            </w:r>
          </w:p>
        </w:tc>
        <w:tc>
          <w:tcPr>
            <w:tcW w:w="3590" w:type="dxa"/>
            <w:tcBorders>
              <w:top w:val="nil"/>
              <w:left w:val="single" w:sz="2" w:space="0" w:color="auto"/>
              <w:bottom w:val="single" w:sz="4" w:space="0" w:color="auto"/>
              <w:right w:val="single" w:sz="2" w:space="0" w:color="auto"/>
            </w:tcBorders>
            <w:vAlign w:val="center"/>
          </w:tcPr>
          <w:p w14:paraId="2190A86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February 1997, Valley Landfills, Inc</w:t>
            </w:r>
          </w:p>
          <w:p w14:paraId="4599FE31"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1997-224922</w:t>
            </w:r>
          </w:p>
        </w:tc>
      </w:tr>
      <w:tr w:rsidR="006F646F" w:rsidRPr="00CB4950" w14:paraId="1D2FB98A" w14:textId="77777777" w:rsidTr="00CD02A5">
        <w:trPr>
          <w:trHeight w:val="565"/>
        </w:trPr>
        <w:tc>
          <w:tcPr>
            <w:tcW w:w="440" w:type="dxa"/>
            <w:tcBorders>
              <w:top w:val="nil"/>
              <w:left w:val="single" w:sz="8" w:space="0" w:color="auto"/>
              <w:bottom w:val="single" w:sz="4" w:space="0" w:color="auto"/>
              <w:right w:val="single" w:sz="4" w:space="0" w:color="auto"/>
            </w:tcBorders>
            <w:shd w:val="clear" w:color="000000" w:fill="F2F2F2"/>
            <w:vAlign w:val="center"/>
          </w:tcPr>
          <w:p w14:paraId="4943BF58"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11</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471075E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104180001101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5D86E33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1AC7DB2D"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002FFC2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Construction staging/storage area, office (2013)</w:t>
            </w:r>
          </w:p>
        </w:tc>
        <w:tc>
          <w:tcPr>
            <w:tcW w:w="3590" w:type="dxa"/>
            <w:tcBorders>
              <w:top w:val="nil"/>
              <w:left w:val="single" w:sz="2" w:space="0" w:color="auto"/>
              <w:bottom w:val="single" w:sz="4" w:space="0" w:color="auto"/>
              <w:right w:val="single" w:sz="2" w:space="0" w:color="auto"/>
            </w:tcBorders>
            <w:vAlign w:val="center"/>
          </w:tcPr>
          <w:p w14:paraId="4BEA3858"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December 1991, Valley Landfills, Inc</w:t>
            </w:r>
          </w:p>
          <w:p w14:paraId="73805452"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142396-91</w:t>
            </w:r>
          </w:p>
        </w:tc>
      </w:tr>
      <w:tr w:rsidR="006F646F" w:rsidRPr="00CB4950" w14:paraId="2A837782"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4AED9E6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12</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18E2A2E6"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104180001104</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498FFDFD"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340FA1B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56BC866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Construction staging/storage area (2013)</w:t>
            </w:r>
          </w:p>
        </w:tc>
        <w:tc>
          <w:tcPr>
            <w:tcW w:w="3590" w:type="dxa"/>
            <w:tcBorders>
              <w:top w:val="nil"/>
              <w:left w:val="single" w:sz="2" w:space="0" w:color="auto"/>
              <w:bottom w:val="single" w:sz="4" w:space="0" w:color="auto"/>
              <w:right w:val="single" w:sz="2" w:space="0" w:color="auto"/>
            </w:tcBorders>
            <w:vAlign w:val="center"/>
          </w:tcPr>
          <w:p w14:paraId="197E21B3"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January 1987, Valley Landfills Inc.</w:t>
            </w:r>
          </w:p>
          <w:p w14:paraId="16DF8D8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1987-086356</w:t>
            </w:r>
          </w:p>
          <w:p w14:paraId="1945EC3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Segregated from 104180001101 in 1969</w:t>
            </w:r>
          </w:p>
        </w:tc>
      </w:tr>
      <w:tr w:rsidR="006F646F" w:rsidRPr="00CB4950" w14:paraId="389C4492"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108C904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13</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7B884D7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104180001102</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371074E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0D61448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678F49A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Vacant, non-forested land</w:t>
            </w:r>
          </w:p>
        </w:tc>
        <w:tc>
          <w:tcPr>
            <w:tcW w:w="3590" w:type="dxa"/>
            <w:tcBorders>
              <w:top w:val="nil"/>
              <w:left w:val="single" w:sz="2" w:space="0" w:color="auto"/>
              <w:bottom w:val="single" w:sz="4" w:space="0" w:color="auto"/>
              <w:right w:val="single" w:sz="2" w:space="0" w:color="auto"/>
            </w:tcBorders>
            <w:vAlign w:val="center"/>
          </w:tcPr>
          <w:p w14:paraId="7F0A997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March 1990, Valley Landfills, Inc</w:t>
            </w:r>
          </w:p>
          <w:p w14:paraId="54AE2A5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123022-90</w:t>
            </w:r>
          </w:p>
        </w:tc>
      </w:tr>
      <w:tr w:rsidR="006F646F" w:rsidRPr="00CB4950" w14:paraId="5B200C13"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5DFF6882"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14</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2A592A68"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104180001107</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39BC8FD4"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Landfill Site</w:t>
            </w:r>
          </w:p>
        </w:tc>
        <w:tc>
          <w:tcPr>
            <w:tcW w:w="1427" w:type="dxa"/>
            <w:tcBorders>
              <w:top w:val="nil"/>
              <w:left w:val="nil"/>
              <w:bottom w:val="single" w:sz="4" w:space="0" w:color="auto"/>
              <w:right w:val="single" w:sz="8" w:space="0" w:color="auto"/>
            </w:tcBorders>
            <w:shd w:val="clear" w:color="auto" w:fill="auto"/>
            <w:noWrap/>
            <w:vAlign w:val="center"/>
          </w:tcPr>
          <w:p w14:paraId="11E68CC3"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54B2D906"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xml:space="preserve">Leachate Maintenance facility/leachate ponds (2021 SDP) </w:t>
            </w:r>
          </w:p>
          <w:p w14:paraId="6C3CA041" w14:textId="77777777" w:rsidR="006F646F" w:rsidRPr="00734E50" w:rsidRDefault="006F646F" w:rsidP="00CD02A5">
            <w:pPr>
              <w:spacing w:after="0" w:line="240" w:lineRule="auto"/>
              <w:rPr>
                <w:rFonts w:ascii="Calibri" w:eastAsia="Times New Roman" w:hAnsi="Calibri" w:cs="Calibri"/>
                <w:color w:val="000000"/>
                <w:sz w:val="24"/>
                <w:szCs w:val="24"/>
              </w:rPr>
            </w:pPr>
          </w:p>
        </w:tc>
        <w:tc>
          <w:tcPr>
            <w:tcW w:w="3590" w:type="dxa"/>
            <w:tcBorders>
              <w:top w:val="nil"/>
              <w:left w:val="single" w:sz="2" w:space="0" w:color="auto"/>
              <w:bottom w:val="single" w:sz="4" w:space="0" w:color="auto"/>
              <w:right w:val="single" w:sz="2" w:space="0" w:color="auto"/>
            </w:tcBorders>
            <w:vAlign w:val="center"/>
          </w:tcPr>
          <w:p w14:paraId="6CDCDF16" w14:textId="77777777" w:rsidR="006F646F" w:rsidRPr="00734E50" w:rsidRDefault="006F646F" w:rsidP="00CD02A5">
            <w:pPr>
              <w:spacing w:after="0" w:line="240" w:lineRule="auto"/>
              <w:rPr>
                <w:rFonts w:ascii="Calibri" w:eastAsia="Times New Roman" w:hAnsi="Calibri" w:cs="Calibri"/>
                <w:color w:val="000000"/>
                <w:sz w:val="24"/>
                <w:szCs w:val="24"/>
              </w:rPr>
            </w:pPr>
            <w:commentRangeStart w:id="282"/>
            <w:r w:rsidRPr="00734E50">
              <w:rPr>
                <w:rFonts w:ascii="Calibri" w:eastAsia="Times New Roman" w:hAnsi="Calibri" w:cs="Calibri"/>
                <w:color w:val="000000"/>
                <w:sz w:val="24"/>
                <w:szCs w:val="24"/>
              </w:rPr>
              <w:t>August 1987</w:t>
            </w:r>
            <w:commentRangeEnd w:id="282"/>
            <w:r w:rsidRPr="00734E50">
              <w:rPr>
                <w:rFonts w:ascii="Calibri" w:eastAsia="Calibri" w:hAnsi="Calibri" w:cs="Calibri"/>
                <w:sz w:val="24"/>
                <w:szCs w:val="24"/>
              </w:rPr>
              <w:commentReference w:id="282"/>
            </w:r>
            <w:r w:rsidRPr="00734E50">
              <w:rPr>
                <w:rFonts w:ascii="Calibri" w:eastAsia="Times New Roman" w:hAnsi="Calibri" w:cs="Calibri"/>
                <w:color w:val="000000"/>
                <w:sz w:val="24"/>
                <w:szCs w:val="24"/>
              </w:rPr>
              <w:t>, Valley Landfills, Inc.</w:t>
            </w:r>
          </w:p>
          <w:p w14:paraId="70674A65"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Deed 1987-092809</w:t>
            </w:r>
          </w:p>
          <w:p w14:paraId="0A6D1791" w14:textId="77777777" w:rsidR="006F646F" w:rsidRPr="00734E50" w:rsidRDefault="006F646F" w:rsidP="00CD02A5">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Segregated from 104180001100 in 1977</w:t>
            </w:r>
          </w:p>
          <w:p w14:paraId="459E0B30" w14:textId="3E445DE3" w:rsidR="00734E50" w:rsidRPr="00734E50" w:rsidRDefault="00734E50" w:rsidP="00734E50">
            <w:pPr>
              <w:spacing w:after="0" w:line="240" w:lineRule="auto"/>
              <w:rPr>
                <w:rFonts w:ascii="Calibri" w:eastAsia="Times New Roman" w:hAnsi="Calibri" w:cs="Calibri"/>
                <w:color w:val="000000"/>
                <w:sz w:val="24"/>
                <w:szCs w:val="24"/>
              </w:rPr>
            </w:pPr>
            <w:r w:rsidRPr="00734E50">
              <w:rPr>
                <w:rFonts w:ascii="Calibri" w:eastAsia="Times New Roman" w:hAnsi="Calibri" w:cs="Calibri"/>
                <w:color w:val="000000"/>
                <w:sz w:val="24"/>
                <w:szCs w:val="24"/>
              </w:rPr>
              <w:t>* This property was likely purchased by the landfill owner prior to 1983, however, that information was unavailable at the time of this report.</w:t>
            </w:r>
          </w:p>
        </w:tc>
      </w:tr>
      <w:tr w:rsidR="006F646F" w:rsidRPr="00CB4950" w14:paraId="094BA860"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777C145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15</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6E25F6F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104180001200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41816BE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1D16547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7CB32C3F" w14:textId="77777777" w:rsidR="006F646F" w:rsidRPr="00CB4950" w:rsidRDefault="006F646F" w:rsidP="00CD02A5">
            <w:pPr>
              <w:spacing w:after="0" w:line="240" w:lineRule="auto"/>
              <w:rPr>
                <w:rFonts w:ascii="Calibri" w:eastAsia="Times New Roman" w:hAnsi="Calibri" w:cs="Calibri"/>
                <w:color w:val="000000"/>
                <w:sz w:val="24"/>
                <w:szCs w:val="24"/>
              </w:rPr>
            </w:pPr>
            <w:proofErr w:type="gramStart"/>
            <w:r w:rsidRPr="00CB4950">
              <w:rPr>
                <w:rFonts w:ascii="Calibri" w:eastAsia="Times New Roman" w:hAnsi="Calibri" w:cs="Calibri"/>
                <w:color w:val="000000"/>
                <w:sz w:val="24"/>
                <w:szCs w:val="24"/>
              </w:rPr>
              <w:t>2.2 Megawatt</w:t>
            </w:r>
            <w:proofErr w:type="gramEnd"/>
            <w:r w:rsidRPr="00CB4950">
              <w:rPr>
                <w:rFonts w:ascii="Calibri" w:eastAsia="Times New Roman" w:hAnsi="Calibri" w:cs="Calibri"/>
                <w:color w:val="000000"/>
                <w:sz w:val="24"/>
                <w:szCs w:val="24"/>
              </w:rPr>
              <w:t xml:space="preserve"> power generation facility (originally on lot 1100) (1994)</w:t>
            </w:r>
          </w:p>
        </w:tc>
        <w:tc>
          <w:tcPr>
            <w:tcW w:w="3590" w:type="dxa"/>
            <w:tcBorders>
              <w:top w:val="nil"/>
              <w:left w:val="single" w:sz="2" w:space="0" w:color="auto"/>
              <w:bottom w:val="single" w:sz="4" w:space="0" w:color="auto"/>
              <w:right w:val="single" w:sz="2" w:space="0" w:color="auto"/>
            </w:tcBorders>
            <w:vAlign w:val="center"/>
          </w:tcPr>
          <w:p w14:paraId="00B576F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September 1986, Valley Landfills, Inc.</w:t>
            </w:r>
          </w:p>
          <w:p w14:paraId="4CA24C08"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1986-081011</w:t>
            </w:r>
          </w:p>
        </w:tc>
      </w:tr>
      <w:tr w:rsidR="006F646F" w:rsidRPr="00CB4950" w14:paraId="58BDFD57"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3687252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16</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79A9C898"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104180001000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01817798"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5ED5A5C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4546DAC1"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w:t>
            </w:r>
          </w:p>
        </w:tc>
        <w:tc>
          <w:tcPr>
            <w:tcW w:w="3590" w:type="dxa"/>
            <w:tcBorders>
              <w:top w:val="nil"/>
              <w:left w:val="single" w:sz="2" w:space="0" w:color="auto"/>
              <w:bottom w:val="single" w:sz="4" w:space="0" w:color="auto"/>
              <w:right w:val="single" w:sz="2" w:space="0" w:color="auto"/>
            </w:tcBorders>
            <w:vAlign w:val="center"/>
          </w:tcPr>
          <w:p w14:paraId="4A42FA46" w14:textId="77777777" w:rsidR="006F646F" w:rsidRPr="00CB4950" w:rsidRDefault="006F646F" w:rsidP="00CD02A5">
            <w:pPr>
              <w:spacing w:after="0" w:line="240" w:lineRule="auto"/>
              <w:rPr>
                <w:rFonts w:ascii="Calibri" w:eastAsia="Times New Roman" w:hAnsi="Calibri" w:cs="Calibri"/>
                <w:color w:val="000000"/>
                <w:sz w:val="24"/>
                <w:szCs w:val="24"/>
              </w:rPr>
            </w:pPr>
          </w:p>
          <w:p w14:paraId="0688394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March 1986, Valley Landfills, Inc.</w:t>
            </w:r>
          </w:p>
          <w:p w14:paraId="330B321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1986-077318</w:t>
            </w:r>
          </w:p>
          <w:p w14:paraId="4F8C69A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Segregated from 104180001100 in 1968</w:t>
            </w:r>
          </w:p>
        </w:tc>
      </w:tr>
      <w:tr w:rsidR="006F646F" w:rsidRPr="00CB4950" w14:paraId="6179CA75"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0BACCC0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17</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7F1AC3D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105240000200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40D8C10A"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567268A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Calibri" w:hAnsi="Calibri" w:cs="Calibri"/>
                <w:sz w:val="24"/>
                <w:szCs w:val="24"/>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7E26E96C"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Agriculture, forest, creeks</w:t>
            </w:r>
          </w:p>
        </w:tc>
        <w:tc>
          <w:tcPr>
            <w:tcW w:w="3590" w:type="dxa"/>
            <w:tcBorders>
              <w:top w:val="nil"/>
              <w:left w:val="single" w:sz="2" w:space="0" w:color="auto"/>
              <w:bottom w:val="single" w:sz="4" w:space="0" w:color="auto"/>
              <w:right w:val="single" w:sz="2" w:space="0" w:color="auto"/>
            </w:tcBorders>
            <w:vAlign w:val="center"/>
          </w:tcPr>
          <w:p w14:paraId="35D5CAF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December 1989, Valley Landfills, Inc</w:t>
            </w:r>
          </w:p>
          <w:p w14:paraId="65D96EBA"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M-118414-89</w:t>
            </w:r>
          </w:p>
        </w:tc>
      </w:tr>
      <w:tr w:rsidR="006F646F" w:rsidRPr="00CB4950" w14:paraId="027B4489"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1858D222"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18</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22821DD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105240000103</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74BFC9D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7CAF76A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7266CE6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Minor Land Partition 1980-</w:t>
            </w:r>
            <w:proofErr w:type="gramStart"/>
            <w:r w:rsidRPr="00CB4950">
              <w:rPr>
                <w:rFonts w:ascii="Calibri" w:eastAsia="Times New Roman" w:hAnsi="Calibri" w:cs="Calibri"/>
                <w:color w:val="000000"/>
                <w:sz w:val="24"/>
                <w:szCs w:val="24"/>
              </w:rPr>
              <w:t>017312;  Formerly</w:t>
            </w:r>
            <w:proofErr w:type="gramEnd"/>
            <w:r w:rsidRPr="00CB4950">
              <w:rPr>
                <w:rFonts w:ascii="Calibri" w:eastAsia="Times New Roman" w:hAnsi="Calibri" w:cs="Calibri"/>
                <w:color w:val="000000"/>
                <w:sz w:val="24"/>
                <w:szCs w:val="24"/>
              </w:rPr>
              <w:t xml:space="preserve"> part of 105240000100</w:t>
            </w:r>
          </w:p>
        </w:tc>
        <w:tc>
          <w:tcPr>
            <w:tcW w:w="3590" w:type="dxa"/>
            <w:tcBorders>
              <w:top w:val="nil"/>
              <w:left w:val="single" w:sz="2" w:space="0" w:color="auto"/>
              <w:bottom w:val="single" w:sz="4" w:space="0" w:color="auto"/>
              <w:right w:val="single" w:sz="2" w:space="0" w:color="auto"/>
            </w:tcBorders>
            <w:vAlign w:val="center"/>
          </w:tcPr>
          <w:p w14:paraId="6D0A715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April 1988, Valley Landfill Inc.</w:t>
            </w:r>
          </w:p>
          <w:p w14:paraId="44AAB134"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1988-099247</w:t>
            </w:r>
          </w:p>
          <w:p w14:paraId="635D044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Segregated from 105240000100 in 1980</w:t>
            </w:r>
          </w:p>
        </w:tc>
      </w:tr>
      <w:tr w:rsidR="006F646F" w:rsidRPr="00CB4950" w14:paraId="54428712"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4E00FC95"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19</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16E6BE8B"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10419B001600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2D289FE2"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Rural Residential - 10</w:t>
            </w:r>
          </w:p>
        </w:tc>
        <w:tc>
          <w:tcPr>
            <w:tcW w:w="1427" w:type="dxa"/>
            <w:tcBorders>
              <w:top w:val="nil"/>
              <w:left w:val="nil"/>
              <w:bottom w:val="single" w:sz="4" w:space="0" w:color="auto"/>
              <w:right w:val="single" w:sz="8" w:space="0" w:color="auto"/>
            </w:tcBorders>
            <w:shd w:val="clear" w:color="auto" w:fill="auto"/>
            <w:noWrap/>
            <w:vAlign w:val="center"/>
          </w:tcPr>
          <w:p w14:paraId="0A8A5C3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RR-10 Planned Unit Development (PUD)</w:t>
            </w:r>
          </w:p>
        </w:tc>
        <w:tc>
          <w:tcPr>
            <w:tcW w:w="4522" w:type="dxa"/>
            <w:tcBorders>
              <w:top w:val="nil"/>
              <w:left w:val="single" w:sz="2" w:space="0" w:color="auto"/>
              <w:bottom w:val="single" w:sz="4" w:space="0" w:color="auto"/>
              <w:right w:val="single" w:sz="2" w:space="0" w:color="auto"/>
            </w:tcBorders>
            <w:vAlign w:val="center"/>
          </w:tcPr>
          <w:p w14:paraId="7900B63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Vacant residential</w:t>
            </w:r>
          </w:p>
          <w:p w14:paraId="2B5C69ED"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 xml:space="preserve">Former subdivision/Planned Development </w:t>
            </w:r>
          </w:p>
          <w:p w14:paraId="13587740"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BCS-78-5, LD-82-11, Tampico Ridge Subdivision vacated in 1988</w:t>
            </w:r>
          </w:p>
        </w:tc>
        <w:tc>
          <w:tcPr>
            <w:tcW w:w="3590" w:type="dxa"/>
            <w:tcBorders>
              <w:top w:val="nil"/>
              <w:left w:val="single" w:sz="2" w:space="0" w:color="auto"/>
              <w:bottom w:val="single" w:sz="4" w:space="0" w:color="auto"/>
              <w:right w:val="single" w:sz="2" w:space="0" w:color="auto"/>
            </w:tcBorders>
            <w:vAlign w:val="center"/>
          </w:tcPr>
          <w:p w14:paraId="43E3970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December 1999, Valley Landfills, Inc.</w:t>
            </w:r>
          </w:p>
          <w:p w14:paraId="0D26045F"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1999-276868</w:t>
            </w:r>
          </w:p>
          <w:p w14:paraId="06826AA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Segregated from 10419B000100/00200/01400 in 1988, Segregated from 10419B001601 in 1999</w:t>
            </w:r>
          </w:p>
        </w:tc>
      </w:tr>
      <w:tr w:rsidR="006F646F" w:rsidRPr="00CB4950" w14:paraId="56F06C6F"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1744A7CA"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20*</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3FE5B997"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104180000200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6B0D9B16"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040394E8" w14:textId="77777777" w:rsidR="006F646F" w:rsidRPr="00CB4950" w:rsidRDefault="006F646F" w:rsidP="00CD02A5">
            <w:pPr>
              <w:rPr>
                <w:rFonts w:ascii="Calibri" w:eastAsia="Calibri" w:hAnsi="Calibri" w:cs="Calibri"/>
                <w:sz w:val="24"/>
                <w:szCs w:val="24"/>
              </w:rPr>
            </w:pPr>
          </w:p>
        </w:tc>
        <w:tc>
          <w:tcPr>
            <w:tcW w:w="4522" w:type="dxa"/>
            <w:tcBorders>
              <w:top w:val="nil"/>
              <w:left w:val="single" w:sz="2" w:space="0" w:color="auto"/>
              <w:bottom w:val="single" w:sz="4" w:space="0" w:color="auto"/>
              <w:right w:val="single" w:sz="2" w:space="0" w:color="auto"/>
            </w:tcBorders>
            <w:vAlign w:val="center"/>
          </w:tcPr>
          <w:p w14:paraId="187429C7"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Forested land</w:t>
            </w:r>
          </w:p>
        </w:tc>
        <w:tc>
          <w:tcPr>
            <w:tcW w:w="3590" w:type="dxa"/>
            <w:tcBorders>
              <w:top w:val="nil"/>
              <w:left w:val="single" w:sz="2" w:space="0" w:color="auto"/>
              <w:bottom w:val="single" w:sz="4" w:space="0" w:color="auto"/>
              <w:right w:val="single" w:sz="2" w:space="0" w:color="auto"/>
            </w:tcBorders>
            <w:vAlign w:val="center"/>
          </w:tcPr>
          <w:p w14:paraId="3B737230"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01/07/1998, purchased by Peltier Real Estate Co</w:t>
            </w:r>
            <w:r w:rsidRPr="00CB4950">
              <w:rPr>
                <w:rFonts w:ascii="Calibri" w:eastAsia="Calibri" w:hAnsi="Calibri" w:cs="Calibri"/>
                <w:sz w:val="24"/>
                <w:szCs w:val="24"/>
              </w:rPr>
              <w:br/>
              <w:t>Deed 239947-98</w:t>
            </w:r>
            <w:r w:rsidRPr="00CB4950">
              <w:rPr>
                <w:rFonts w:ascii="Calibri" w:eastAsia="Calibri" w:hAnsi="Calibri" w:cs="Calibri"/>
                <w:sz w:val="24"/>
                <w:szCs w:val="24"/>
              </w:rPr>
              <w:br/>
              <w:t>Taxes paid by Republic Services</w:t>
            </w:r>
          </w:p>
        </w:tc>
      </w:tr>
      <w:tr w:rsidR="006F646F" w:rsidRPr="00CB4950" w14:paraId="221581EF" w14:textId="77777777" w:rsidTr="00CD02A5">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607CC5B9"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21*</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2DBA3D86"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104180001105</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5CD7060F"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4010591F" w14:textId="77777777" w:rsidR="006F646F" w:rsidRPr="00CB4950" w:rsidRDefault="006F646F" w:rsidP="00CD02A5">
            <w:pPr>
              <w:rPr>
                <w:rFonts w:ascii="Calibri" w:eastAsia="Calibri" w:hAnsi="Calibri" w:cs="Calibri"/>
                <w:sz w:val="24"/>
                <w:szCs w:val="24"/>
              </w:rPr>
            </w:pPr>
          </w:p>
        </w:tc>
        <w:tc>
          <w:tcPr>
            <w:tcW w:w="4522" w:type="dxa"/>
            <w:tcBorders>
              <w:top w:val="nil"/>
              <w:left w:val="single" w:sz="2" w:space="0" w:color="auto"/>
              <w:bottom w:val="single" w:sz="4" w:space="0" w:color="auto"/>
              <w:right w:val="single" w:sz="2" w:space="0" w:color="auto"/>
            </w:tcBorders>
            <w:vAlign w:val="center"/>
          </w:tcPr>
          <w:p w14:paraId="4E37D4C6"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Agriculture</w:t>
            </w:r>
          </w:p>
        </w:tc>
        <w:tc>
          <w:tcPr>
            <w:tcW w:w="3590" w:type="dxa"/>
            <w:tcBorders>
              <w:top w:val="nil"/>
              <w:left w:val="single" w:sz="2" w:space="0" w:color="auto"/>
              <w:bottom w:val="single" w:sz="4" w:space="0" w:color="auto"/>
              <w:right w:val="single" w:sz="2" w:space="0" w:color="auto"/>
            </w:tcBorders>
            <w:vAlign w:val="center"/>
          </w:tcPr>
          <w:p w14:paraId="4EEA99F4"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October 1982, purchased by Peltier Real Estate Co</w:t>
            </w:r>
            <w:r w:rsidRPr="00CB4950">
              <w:rPr>
                <w:rFonts w:ascii="Calibri" w:eastAsia="Times New Roman" w:hAnsi="Calibri" w:cs="Calibri"/>
                <w:color w:val="000000"/>
                <w:sz w:val="24"/>
                <w:szCs w:val="24"/>
              </w:rPr>
              <w:br/>
              <w:t>Deed 1982-041706</w:t>
            </w:r>
          </w:p>
          <w:p w14:paraId="1921004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Calibri" w:hAnsi="Calibri" w:cs="Calibri"/>
                <w:sz w:val="24"/>
                <w:szCs w:val="24"/>
              </w:rPr>
              <w:t>Taxes paid by Republic Services Property Tax</w:t>
            </w:r>
          </w:p>
        </w:tc>
      </w:tr>
      <w:tr w:rsidR="006F646F" w:rsidRPr="00CB4950" w14:paraId="0EE9C4D7" w14:textId="77777777" w:rsidTr="00CD02A5">
        <w:trPr>
          <w:trHeight w:val="300"/>
        </w:trPr>
        <w:tc>
          <w:tcPr>
            <w:tcW w:w="440" w:type="dxa"/>
            <w:tcBorders>
              <w:top w:val="single" w:sz="4" w:space="0" w:color="auto"/>
              <w:left w:val="single" w:sz="4" w:space="0" w:color="auto"/>
              <w:bottom w:val="single" w:sz="4" w:space="0" w:color="auto"/>
              <w:right w:val="single" w:sz="4" w:space="0" w:color="auto"/>
            </w:tcBorders>
            <w:shd w:val="clear" w:color="000000" w:fill="F2F2F2"/>
            <w:vAlign w:val="center"/>
          </w:tcPr>
          <w:p w14:paraId="2E26803F"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22*</w:t>
            </w:r>
          </w:p>
        </w:tc>
        <w:tc>
          <w:tcPr>
            <w:tcW w:w="1563"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612C33C"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10419B000300</w:t>
            </w:r>
          </w:p>
        </w:tc>
        <w:tc>
          <w:tcPr>
            <w:tcW w:w="1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8A02C"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Rural Residential - 10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5ADD8" w14:textId="77777777" w:rsidR="006F646F" w:rsidRPr="00CB4950" w:rsidRDefault="006F646F" w:rsidP="00CD02A5">
            <w:pPr>
              <w:rPr>
                <w:rFonts w:ascii="Calibri" w:eastAsia="Calibri" w:hAnsi="Calibri" w:cs="Calibri"/>
                <w:sz w:val="24"/>
                <w:szCs w:val="24"/>
              </w:rPr>
            </w:pPr>
            <w:r w:rsidRPr="00CB4950">
              <w:rPr>
                <w:rFonts w:ascii="Calibri" w:eastAsia="Times New Roman" w:hAnsi="Calibri" w:cs="Calibri"/>
                <w:color w:val="000000"/>
                <w:sz w:val="24"/>
                <w:szCs w:val="24"/>
              </w:rPr>
              <w:t>RR-10</w:t>
            </w:r>
          </w:p>
        </w:tc>
        <w:tc>
          <w:tcPr>
            <w:tcW w:w="4522" w:type="dxa"/>
            <w:tcBorders>
              <w:top w:val="single" w:sz="4" w:space="0" w:color="auto"/>
              <w:left w:val="single" w:sz="4" w:space="0" w:color="auto"/>
              <w:bottom w:val="single" w:sz="4" w:space="0" w:color="auto"/>
              <w:right w:val="single" w:sz="4" w:space="0" w:color="auto"/>
            </w:tcBorders>
            <w:vAlign w:val="center"/>
          </w:tcPr>
          <w:p w14:paraId="786B2CF4"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Vacant residential</w:t>
            </w:r>
          </w:p>
        </w:tc>
        <w:tc>
          <w:tcPr>
            <w:tcW w:w="3590" w:type="dxa"/>
            <w:tcBorders>
              <w:top w:val="single" w:sz="4" w:space="0" w:color="auto"/>
              <w:left w:val="single" w:sz="4" w:space="0" w:color="auto"/>
              <w:bottom w:val="single" w:sz="4" w:space="0" w:color="auto"/>
              <w:right w:val="single" w:sz="4" w:space="0" w:color="auto"/>
            </w:tcBorders>
            <w:vAlign w:val="center"/>
          </w:tcPr>
          <w:p w14:paraId="42A885A6"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09/07/1999, purchased by Peltier Real Estate Co</w:t>
            </w:r>
            <w:r w:rsidRPr="00CB4950">
              <w:rPr>
                <w:rFonts w:ascii="Calibri" w:eastAsia="Times New Roman" w:hAnsi="Calibri" w:cs="Calibri"/>
                <w:color w:val="000000"/>
                <w:sz w:val="24"/>
                <w:szCs w:val="24"/>
              </w:rPr>
              <w:br/>
              <w:t>Deed 277841-99</w:t>
            </w:r>
          </w:p>
          <w:p w14:paraId="561C18A1"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Taxes paid by Republic Services</w:t>
            </w:r>
          </w:p>
        </w:tc>
      </w:tr>
      <w:tr w:rsidR="006F646F" w:rsidRPr="00CB4950" w14:paraId="0F2E0BCF" w14:textId="77777777" w:rsidTr="00CD02A5">
        <w:trPr>
          <w:trHeight w:val="300"/>
        </w:trPr>
        <w:tc>
          <w:tcPr>
            <w:tcW w:w="440" w:type="dxa"/>
            <w:tcBorders>
              <w:top w:val="single" w:sz="4" w:space="0" w:color="auto"/>
              <w:left w:val="single" w:sz="4" w:space="0" w:color="auto"/>
              <w:bottom w:val="single" w:sz="4" w:space="0" w:color="auto"/>
              <w:right w:val="single" w:sz="4" w:space="0" w:color="auto"/>
            </w:tcBorders>
            <w:shd w:val="clear" w:color="000000" w:fill="F2F2F2"/>
            <w:vAlign w:val="center"/>
          </w:tcPr>
          <w:p w14:paraId="3931123F"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23</w:t>
            </w:r>
          </w:p>
        </w:tc>
        <w:tc>
          <w:tcPr>
            <w:tcW w:w="1563"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A95BFD3"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10419B001301</w:t>
            </w:r>
          </w:p>
        </w:tc>
        <w:tc>
          <w:tcPr>
            <w:tcW w:w="1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ECB953" w14:textId="77777777" w:rsidR="006F646F" w:rsidRPr="00CB4950" w:rsidRDefault="006F646F" w:rsidP="00CD02A5">
            <w:pPr>
              <w:rPr>
                <w:rFonts w:ascii="Calibri" w:eastAsia="Calibri" w:hAnsi="Calibri" w:cs="Calibri"/>
                <w:sz w:val="24"/>
                <w:szCs w:val="24"/>
              </w:rPr>
            </w:pPr>
            <w:r w:rsidRPr="00CB4950">
              <w:rPr>
                <w:rFonts w:ascii="Calibri" w:eastAsia="Calibri" w:hAnsi="Calibri" w:cs="Calibri"/>
                <w:sz w:val="24"/>
                <w:szCs w:val="24"/>
              </w:rPr>
              <w:t>Rural Residential -10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E7D6C" w14:textId="77777777" w:rsidR="006F646F" w:rsidRPr="00CB4950" w:rsidRDefault="006F646F" w:rsidP="00CD02A5">
            <w:pPr>
              <w:rPr>
                <w:rFonts w:ascii="Calibri" w:eastAsia="Times New Roman" w:hAnsi="Calibri" w:cs="Calibri"/>
                <w:color w:val="000000"/>
                <w:sz w:val="24"/>
                <w:szCs w:val="24"/>
              </w:rPr>
            </w:pPr>
            <w:r w:rsidRPr="00CB4950">
              <w:rPr>
                <w:rFonts w:ascii="Calibri" w:eastAsia="Times New Roman" w:hAnsi="Calibri" w:cs="Calibri"/>
                <w:color w:val="000000"/>
                <w:sz w:val="24"/>
                <w:szCs w:val="24"/>
              </w:rPr>
              <w:t>RR-10</w:t>
            </w:r>
          </w:p>
        </w:tc>
        <w:tc>
          <w:tcPr>
            <w:tcW w:w="4522" w:type="dxa"/>
            <w:tcBorders>
              <w:top w:val="single" w:sz="4" w:space="0" w:color="auto"/>
              <w:left w:val="single" w:sz="4" w:space="0" w:color="auto"/>
              <w:bottom w:val="single" w:sz="4" w:space="0" w:color="auto"/>
              <w:right w:val="single" w:sz="4" w:space="0" w:color="auto"/>
            </w:tcBorders>
            <w:vAlign w:val="center"/>
          </w:tcPr>
          <w:p w14:paraId="2E6E4AAA"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 xml:space="preserve">Vacated right-of-way Former subdivision/Planned Development </w:t>
            </w:r>
          </w:p>
          <w:p w14:paraId="58331899"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BCS-78-5, LD-82-11, part of Tampico Ridge Subdivision vacated in 1988</w:t>
            </w:r>
          </w:p>
        </w:tc>
        <w:tc>
          <w:tcPr>
            <w:tcW w:w="3590" w:type="dxa"/>
            <w:tcBorders>
              <w:top w:val="single" w:sz="4" w:space="0" w:color="auto"/>
              <w:left w:val="single" w:sz="4" w:space="0" w:color="auto"/>
              <w:bottom w:val="single" w:sz="4" w:space="0" w:color="auto"/>
              <w:right w:val="single" w:sz="4" w:space="0" w:color="auto"/>
            </w:tcBorders>
            <w:vAlign w:val="center"/>
          </w:tcPr>
          <w:p w14:paraId="3B43924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September 1988, Valley Landfills Inc.</w:t>
            </w:r>
          </w:p>
          <w:p w14:paraId="2A508351"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Deed M-106768-88</w:t>
            </w:r>
          </w:p>
          <w:p w14:paraId="6DCA911E" w14:textId="77777777" w:rsidR="006F646F" w:rsidRPr="00CB4950" w:rsidRDefault="006F646F" w:rsidP="00CD02A5">
            <w:pPr>
              <w:spacing w:after="0" w:line="240" w:lineRule="auto"/>
              <w:rPr>
                <w:rFonts w:ascii="Calibri" w:eastAsia="Times New Roman" w:hAnsi="Calibri" w:cs="Calibri"/>
                <w:color w:val="000000"/>
                <w:sz w:val="24"/>
                <w:szCs w:val="24"/>
              </w:rPr>
            </w:pPr>
            <w:r w:rsidRPr="00CB4950">
              <w:rPr>
                <w:rFonts w:ascii="Calibri" w:eastAsia="Times New Roman" w:hAnsi="Calibri" w:cs="Calibri"/>
                <w:color w:val="000000"/>
                <w:sz w:val="24"/>
                <w:szCs w:val="24"/>
              </w:rPr>
              <w:t>Formerly part of 10419B000300</w:t>
            </w:r>
          </w:p>
        </w:tc>
      </w:tr>
    </w:tbl>
    <w:p w14:paraId="7487CADB" w14:textId="77777777" w:rsidR="006F646F" w:rsidRPr="00CB4950" w:rsidRDefault="006F646F" w:rsidP="006F646F">
      <w:pPr>
        <w:tabs>
          <w:tab w:val="left" w:pos="1662"/>
        </w:tabs>
        <w:rPr>
          <w:rFonts w:ascii="Calibri" w:eastAsia="Calibri" w:hAnsi="Calibri" w:cs="Calibri"/>
          <w:sz w:val="24"/>
          <w:szCs w:val="24"/>
        </w:rPr>
      </w:pPr>
    </w:p>
    <w:p w14:paraId="187E186A" w14:textId="77777777" w:rsidR="006F646F" w:rsidRPr="00CB4950" w:rsidRDefault="006F646F" w:rsidP="006F646F">
      <w:pPr>
        <w:tabs>
          <w:tab w:val="left" w:pos="1662"/>
        </w:tabs>
        <w:rPr>
          <w:rFonts w:ascii="Calibri" w:eastAsia="Calibri" w:hAnsi="Calibri" w:cs="Calibri"/>
          <w:sz w:val="24"/>
          <w:szCs w:val="24"/>
        </w:rPr>
      </w:pPr>
    </w:p>
    <w:p w14:paraId="387B60DE" w14:textId="77777777" w:rsidR="006F646F" w:rsidRPr="00CB4950" w:rsidRDefault="006F646F" w:rsidP="006F646F">
      <w:pPr>
        <w:tabs>
          <w:tab w:val="left" w:pos="1662"/>
        </w:tabs>
        <w:rPr>
          <w:rFonts w:ascii="Calibri" w:eastAsia="Calibri" w:hAnsi="Calibri" w:cs="Calibri"/>
          <w:sz w:val="24"/>
          <w:szCs w:val="24"/>
        </w:rPr>
      </w:pPr>
    </w:p>
    <w:p w14:paraId="703FEDA0" w14:textId="77777777" w:rsidR="006F646F" w:rsidRPr="00CB4950" w:rsidRDefault="006F646F" w:rsidP="006F646F">
      <w:pPr>
        <w:tabs>
          <w:tab w:val="left" w:pos="1662"/>
        </w:tabs>
        <w:rPr>
          <w:rFonts w:ascii="Calibri" w:eastAsia="Calibri" w:hAnsi="Calibri" w:cs="Calibri"/>
          <w:sz w:val="24"/>
          <w:szCs w:val="24"/>
        </w:rPr>
      </w:pPr>
    </w:p>
    <w:p w14:paraId="5F8C102E" w14:textId="77777777" w:rsidR="006F646F" w:rsidRPr="00CB4950" w:rsidRDefault="006F646F" w:rsidP="006F646F">
      <w:pPr>
        <w:tabs>
          <w:tab w:val="left" w:pos="1662"/>
        </w:tabs>
        <w:rPr>
          <w:rFonts w:ascii="Calibri" w:eastAsia="Calibri" w:hAnsi="Calibri" w:cs="Calibri"/>
          <w:sz w:val="24"/>
          <w:szCs w:val="24"/>
        </w:rPr>
      </w:pPr>
    </w:p>
    <w:p w14:paraId="1B5594B2" w14:textId="77777777" w:rsidR="006F646F" w:rsidRPr="00CB4950" w:rsidRDefault="006F646F" w:rsidP="006F646F">
      <w:pPr>
        <w:tabs>
          <w:tab w:val="left" w:pos="1662"/>
        </w:tabs>
        <w:rPr>
          <w:rFonts w:ascii="Calibri" w:eastAsia="Calibri" w:hAnsi="Calibri" w:cs="Calibri"/>
          <w:sz w:val="24"/>
          <w:szCs w:val="24"/>
        </w:rPr>
      </w:pPr>
    </w:p>
    <w:p w14:paraId="3D363E4A" w14:textId="77777777" w:rsidR="006F646F" w:rsidRPr="00CB4950" w:rsidRDefault="006F646F" w:rsidP="006F646F">
      <w:pPr>
        <w:tabs>
          <w:tab w:val="left" w:pos="1662"/>
        </w:tabs>
        <w:rPr>
          <w:rFonts w:ascii="Calibri" w:eastAsia="Calibri" w:hAnsi="Calibri" w:cs="Calibri"/>
          <w:sz w:val="24"/>
          <w:szCs w:val="24"/>
        </w:rPr>
      </w:pPr>
    </w:p>
    <w:p w14:paraId="65007D9D" w14:textId="77777777" w:rsidR="006F646F" w:rsidRPr="00CB4950" w:rsidRDefault="006F646F" w:rsidP="006F646F">
      <w:pPr>
        <w:tabs>
          <w:tab w:val="left" w:pos="1662"/>
        </w:tabs>
        <w:rPr>
          <w:rFonts w:ascii="Calibri" w:eastAsia="Calibri" w:hAnsi="Calibri" w:cs="Calibri"/>
          <w:sz w:val="24"/>
          <w:szCs w:val="24"/>
        </w:rPr>
      </w:pPr>
    </w:p>
    <w:p w14:paraId="5EDFDCFB" w14:textId="77777777" w:rsidR="006F646F" w:rsidRPr="00CB4950" w:rsidRDefault="006F646F" w:rsidP="006F646F">
      <w:pPr>
        <w:tabs>
          <w:tab w:val="left" w:pos="1662"/>
        </w:tabs>
        <w:rPr>
          <w:rFonts w:ascii="Calibri" w:eastAsia="Calibri" w:hAnsi="Calibri" w:cs="Calibri"/>
          <w:sz w:val="24"/>
          <w:szCs w:val="24"/>
        </w:rPr>
      </w:pPr>
    </w:p>
    <w:p w14:paraId="4D2D6711" w14:textId="77777777" w:rsidR="006F646F" w:rsidRPr="00CB4950" w:rsidRDefault="006F646F" w:rsidP="006F646F">
      <w:pPr>
        <w:tabs>
          <w:tab w:val="left" w:pos="1662"/>
        </w:tabs>
        <w:rPr>
          <w:rFonts w:ascii="Calibri" w:eastAsia="Calibri" w:hAnsi="Calibri" w:cs="Calibri"/>
          <w:sz w:val="24"/>
          <w:szCs w:val="24"/>
        </w:rPr>
      </w:pPr>
    </w:p>
    <w:p w14:paraId="61D7E7DE" w14:textId="77777777" w:rsidR="006F646F" w:rsidRPr="00CB4950" w:rsidRDefault="006F646F" w:rsidP="006F646F">
      <w:pPr>
        <w:tabs>
          <w:tab w:val="left" w:pos="1662"/>
        </w:tabs>
        <w:rPr>
          <w:rFonts w:ascii="Calibri" w:eastAsia="Calibri" w:hAnsi="Calibri" w:cs="Calibri"/>
          <w:sz w:val="24"/>
          <w:szCs w:val="24"/>
        </w:rPr>
      </w:pPr>
    </w:p>
    <w:p w14:paraId="32E710AF" w14:textId="77777777" w:rsidR="006F646F" w:rsidRPr="00CB4950" w:rsidRDefault="006F646F" w:rsidP="006F646F">
      <w:pPr>
        <w:tabs>
          <w:tab w:val="left" w:pos="1662"/>
        </w:tabs>
        <w:rPr>
          <w:rFonts w:ascii="Calibri" w:eastAsia="Calibri" w:hAnsi="Calibri" w:cs="Calibri"/>
          <w:sz w:val="24"/>
          <w:szCs w:val="24"/>
        </w:rPr>
      </w:pPr>
    </w:p>
    <w:p w14:paraId="6577C5AA" w14:textId="77777777" w:rsidR="006F646F" w:rsidRPr="00CB4950" w:rsidRDefault="006F646F" w:rsidP="006F646F">
      <w:pPr>
        <w:tabs>
          <w:tab w:val="left" w:pos="1662"/>
        </w:tabs>
        <w:rPr>
          <w:rFonts w:ascii="Calibri" w:eastAsia="Calibri" w:hAnsi="Calibri" w:cs="Calibri"/>
          <w:sz w:val="24"/>
          <w:szCs w:val="24"/>
        </w:rPr>
        <w:sectPr w:rsidR="006F646F" w:rsidRPr="00CB4950" w:rsidSect="008B5B8D">
          <w:type w:val="nextColumn"/>
          <w:pgSz w:w="15840" w:h="12240" w:orient="landscape"/>
          <w:pgMar w:top="1008" w:right="1440" w:bottom="1008" w:left="1440" w:header="432" w:footer="432" w:gutter="0"/>
          <w:cols w:space="720"/>
          <w:docGrid w:linePitch="360"/>
        </w:sectPr>
      </w:pPr>
    </w:p>
    <w:p w14:paraId="3EE6FE86" w14:textId="77777777" w:rsidR="006F646F" w:rsidRPr="00CB4950" w:rsidRDefault="006F646F" w:rsidP="006F646F">
      <w:pPr>
        <w:keepNext/>
        <w:keepLines/>
        <w:spacing w:after="240" w:line="240" w:lineRule="auto"/>
        <w:outlineLvl w:val="1"/>
        <w:rPr>
          <w:rFonts w:ascii="Calibri" w:eastAsia="Times New Roman" w:hAnsi="Calibri" w:cs="Calibri"/>
          <w:color w:val="2E74B5"/>
          <w:sz w:val="24"/>
          <w:szCs w:val="24"/>
        </w:rPr>
      </w:pPr>
      <w:bookmarkStart w:id="283" w:name="_Toc128666906"/>
      <w:bookmarkStart w:id="284" w:name="_Toc128669094"/>
      <w:r w:rsidRPr="00CB4950">
        <w:rPr>
          <w:rFonts w:ascii="Calibri" w:eastAsia="Times New Roman" w:hAnsi="Calibri" w:cs="Calibri"/>
          <w:color w:val="2E74B5"/>
          <w:sz w:val="24"/>
          <w:szCs w:val="24"/>
        </w:rPr>
        <w:t xml:space="preserve">Appendix D: </w:t>
      </w:r>
      <w:commentRangeStart w:id="285"/>
      <w:r w:rsidRPr="00CB4950">
        <w:rPr>
          <w:rFonts w:ascii="Calibri" w:eastAsia="Times New Roman" w:hAnsi="Calibri" w:cs="Calibri"/>
          <w:color w:val="2E74B5"/>
          <w:sz w:val="24"/>
          <w:szCs w:val="24"/>
        </w:rPr>
        <w:t>Climate</w:t>
      </w:r>
      <w:commentRangeEnd w:id="285"/>
      <w:r w:rsidRPr="00CB4950">
        <w:rPr>
          <w:rFonts w:eastAsia="Calibri" w:cs="Arial"/>
          <w:sz w:val="16"/>
          <w:szCs w:val="16"/>
        </w:rPr>
        <w:commentReference w:id="285"/>
      </w:r>
      <w:r w:rsidRPr="00CB4950">
        <w:rPr>
          <w:rFonts w:ascii="Calibri" w:eastAsia="Times New Roman" w:hAnsi="Calibri" w:cs="Calibri"/>
          <w:color w:val="2E74B5"/>
          <w:sz w:val="24"/>
          <w:szCs w:val="24"/>
        </w:rPr>
        <w:t xml:space="preserve"> change and other environmental activism/legislation</w:t>
      </w:r>
      <w:bookmarkEnd w:id="283"/>
      <w:bookmarkEnd w:id="284"/>
    </w:p>
    <w:p w14:paraId="3EBF2682" w14:textId="77777777" w:rsidR="006F646F" w:rsidRPr="00CB4950" w:rsidRDefault="006F646F" w:rsidP="006F646F">
      <w:pPr>
        <w:widowControl w:val="0"/>
        <w:pBdr>
          <w:top w:val="nil"/>
          <w:left w:val="nil"/>
          <w:bottom w:val="nil"/>
          <w:right w:val="nil"/>
          <w:between w:val="nil"/>
          <w:bar w:val="nil"/>
        </w:pBdr>
        <w:spacing w:line="256" w:lineRule="auto"/>
        <w:rPr>
          <w:rFonts w:ascii="Calibri" w:eastAsia="Calibri" w:hAnsi="Calibri" w:cs="Calibri"/>
          <w:color w:val="000000"/>
          <w:sz w:val="24"/>
          <w:szCs w:val="24"/>
          <w:u w:color="2E74B5"/>
          <w:bdr w:val="nil"/>
        </w:rPr>
      </w:pPr>
      <w:commentRangeStart w:id="286"/>
      <w:r w:rsidRPr="00CB4950">
        <w:rPr>
          <w:rFonts w:ascii="Calibri" w:eastAsia="Calibri" w:hAnsi="Calibri" w:cs="Calibri"/>
          <w:color w:val="000000"/>
          <w:sz w:val="24"/>
          <w:szCs w:val="24"/>
          <w:u w:color="2E74B5"/>
          <w:bdr w:val="nil"/>
        </w:rPr>
        <w:t xml:space="preserve">The potential </w:t>
      </w:r>
      <w:commentRangeEnd w:id="286"/>
      <w:r w:rsidRPr="00CB4950">
        <w:rPr>
          <w:rFonts w:eastAsia="Calibri" w:cs="Arial"/>
          <w:sz w:val="16"/>
          <w:szCs w:val="16"/>
        </w:rPr>
        <w:commentReference w:id="286"/>
      </w:r>
      <w:r w:rsidRPr="00CB4950">
        <w:rPr>
          <w:rFonts w:ascii="Calibri" w:eastAsia="Calibri" w:hAnsi="Calibri" w:cs="Calibri"/>
          <w:color w:val="000000"/>
          <w:sz w:val="24"/>
          <w:szCs w:val="24"/>
          <w:u w:color="2E74B5"/>
          <w:bdr w:val="nil"/>
        </w:rPr>
        <w:t xml:space="preserve">of environmental activism, litigation, and legislation, especially as related to the climate crisis, is both </w:t>
      </w:r>
      <w:commentRangeStart w:id="287"/>
      <w:r w:rsidRPr="00CB4950">
        <w:rPr>
          <w:rFonts w:ascii="Calibri" w:eastAsia="Calibri" w:hAnsi="Calibri" w:cs="Calibri"/>
          <w:color w:val="000000"/>
          <w:sz w:val="24"/>
          <w:szCs w:val="24"/>
          <w:u w:color="2E74B5"/>
          <w:bdr w:val="nil"/>
        </w:rPr>
        <w:t xml:space="preserve">significant </w:t>
      </w:r>
      <w:commentRangeEnd w:id="287"/>
      <w:r w:rsidRPr="00CB4950">
        <w:rPr>
          <w:rFonts w:eastAsia="Calibri" w:cs="Arial"/>
          <w:sz w:val="16"/>
          <w:szCs w:val="16"/>
        </w:rPr>
        <w:commentReference w:id="287"/>
      </w:r>
      <w:r w:rsidRPr="00CB4950">
        <w:rPr>
          <w:rFonts w:ascii="Calibri" w:eastAsia="Calibri" w:hAnsi="Calibri" w:cs="Calibri"/>
          <w:color w:val="000000"/>
          <w:sz w:val="24"/>
          <w:szCs w:val="24"/>
          <w:u w:color="2E74B5"/>
          <w:bdr w:val="nil"/>
        </w:rPr>
        <w:t>and complex. This Appendix expands on the ideas presented in brief in Table X above.</w:t>
      </w:r>
    </w:p>
    <w:p w14:paraId="46351C2C" w14:textId="77777777" w:rsidR="006F646F" w:rsidRPr="00CB4950" w:rsidRDefault="006F646F" w:rsidP="006F646F">
      <w:pPr>
        <w:widowControl w:val="0"/>
        <w:pBdr>
          <w:top w:val="nil"/>
          <w:left w:val="nil"/>
          <w:bottom w:val="nil"/>
          <w:right w:val="nil"/>
          <w:between w:val="nil"/>
          <w:bar w:val="nil"/>
        </w:pBdr>
        <w:spacing w:after="0" w:line="240" w:lineRule="auto"/>
        <w:rPr>
          <w:rFonts w:ascii="Calibri" w:eastAsia="Calibri" w:hAnsi="Calibri" w:cs="Calibri"/>
          <w:color w:val="000000"/>
          <w:sz w:val="24"/>
          <w:szCs w:val="24"/>
          <w:u w:color="2E74B5"/>
          <w:bdr w:val="nil"/>
        </w:rPr>
      </w:pPr>
    </w:p>
    <w:p w14:paraId="7E86A0BE" w14:textId="77777777" w:rsidR="006F646F" w:rsidRPr="00CB4950" w:rsidRDefault="006F646F" w:rsidP="006F646F">
      <w:pPr>
        <w:widowControl w:val="0"/>
        <w:pBdr>
          <w:top w:val="nil"/>
          <w:left w:val="nil"/>
          <w:bottom w:val="nil"/>
          <w:right w:val="nil"/>
          <w:between w:val="nil"/>
          <w:bar w:val="nil"/>
        </w:pBdr>
        <w:spacing w:after="0" w:line="240" w:lineRule="auto"/>
        <w:rPr>
          <w:rFonts w:ascii="PalatinoLinotype-Bold" w:eastAsia="Calibri" w:hAnsi="PalatinoLinotype-Bold" w:cs="PalatinoLinotype-Bold"/>
          <w:b/>
          <w:bCs/>
          <w:color w:val="0488E2"/>
          <w:u w:color="000000"/>
          <w:bdr w:val="nil"/>
        </w:rPr>
      </w:pPr>
      <w:r w:rsidRPr="00CB4950">
        <w:rPr>
          <w:rFonts w:ascii="PalatinoLinotype-Bold" w:eastAsia="Calibri" w:hAnsi="PalatinoLinotype-Bold" w:cs="PalatinoLinotype-Bold"/>
          <w:b/>
          <w:bCs/>
          <w:color w:val="0488E2"/>
          <w:u w:color="000000"/>
          <w:bdr w:val="nil"/>
        </w:rPr>
        <w:t>Background: The Climate Crisis Imperative, and Methan</w:t>
      </w:r>
      <w:commentRangeStart w:id="288"/>
      <w:commentRangeStart w:id="289"/>
      <w:r w:rsidRPr="00CB4950">
        <w:rPr>
          <w:rFonts w:ascii="PalatinoLinotype-Bold" w:eastAsia="Calibri" w:hAnsi="PalatinoLinotype-Bold" w:cs="PalatinoLinotype-Bold"/>
          <w:b/>
          <w:bCs/>
          <w:color w:val="0488E2"/>
          <w:u w:color="000000"/>
          <w:bdr w:val="nil"/>
        </w:rPr>
        <w:t>e</w:t>
      </w:r>
      <w:commentRangeEnd w:id="288"/>
      <w:r w:rsidRPr="00CB4950">
        <w:rPr>
          <w:rFonts w:ascii="PalatinoLinotype-Bold" w:eastAsia="Calibri" w:hAnsi="PalatinoLinotype-Bold" w:cs="PalatinoLinotype-Bold"/>
          <w:b/>
          <w:bCs/>
          <w:color w:val="0488E2"/>
          <w:u w:color="000000"/>
          <w:bdr w:val="nil"/>
        </w:rPr>
        <w:commentReference w:id="288"/>
      </w:r>
      <w:commentRangeEnd w:id="289"/>
      <w:r w:rsidRPr="00CB4950">
        <w:rPr>
          <w:rFonts w:ascii="PalatinoLinotype-Bold" w:eastAsia="Calibri" w:hAnsi="PalatinoLinotype-Bold" w:cs="PalatinoLinotype-Bold"/>
          <w:b/>
          <w:bCs/>
          <w:color w:val="0488E2"/>
          <w:u w:color="000000"/>
          <w:bdr w:val="nil"/>
        </w:rPr>
        <w:commentReference w:id="289"/>
      </w:r>
    </w:p>
    <w:p w14:paraId="0DD19449"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commentRangeStart w:id="290"/>
      <w:r w:rsidRPr="00CB4950">
        <w:rPr>
          <w:rFonts w:ascii="Calibri" w:eastAsia="Palatino Linotype" w:hAnsi="Calibri" w:cs="Calibri"/>
          <w:color w:val="000000"/>
          <w:sz w:val="24"/>
          <w:szCs w:val="24"/>
          <w:u w:color="000000"/>
          <w:bdr w:val="nil"/>
        </w:rPr>
        <w:t xml:space="preserve">People all over </w:t>
      </w:r>
      <w:commentRangeEnd w:id="290"/>
      <w:r w:rsidRPr="00CB4950">
        <w:rPr>
          <w:rFonts w:eastAsia="Calibri" w:cs="Arial"/>
          <w:sz w:val="16"/>
          <w:szCs w:val="16"/>
        </w:rPr>
        <w:commentReference w:id="290"/>
      </w:r>
      <w:r w:rsidRPr="00CB4950">
        <w:rPr>
          <w:rFonts w:ascii="Calibri" w:eastAsia="Palatino Linotype" w:hAnsi="Calibri" w:cs="Calibri"/>
          <w:color w:val="000000"/>
          <w:sz w:val="24"/>
          <w:szCs w:val="24"/>
          <w:u w:color="000000"/>
          <w:bdr w:val="nil"/>
        </w:rPr>
        <w:t xml:space="preserve">the world are growing increasingly concerned about the threat the uncontrolled release of greenhouse gases poses to the ecosystems that human societies depend upon. Worldwide, militaries, businesses, governments at all levels, other organizations and the public at large have incorporated or are incorporating responses to this threat into their planning, a response that collectively comprises the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climate crisis.</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vertAlign w:val="superscript"/>
        </w:rPr>
        <w:footnoteReference w:id="5"/>
      </w:r>
      <w:r w:rsidRPr="00CB4950">
        <w:rPr>
          <w:rFonts w:ascii="Calibri" w:eastAsia="Palatino Linotype" w:hAnsi="Calibri" w:cs="Calibri" w:hint="eastAsia"/>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6"/>
      </w:r>
      <w:r w:rsidRPr="00CB4950">
        <w:rPr>
          <w:rFonts w:ascii="Calibri" w:eastAsia="Palatino Linotype" w:hAnsi="Calibri" w:cs="Calibri" w:hint="eastAsia"/>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7"/>
      </w:r>
      <w:r w:rsidRPr="00CB4950">
        <w:rPr>
          <w:rFonts w:ascii="Calibri" w:eastAsia="Palatino Linotype"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8"/>
      </w:r>
      <w:r w:rsidRPr="00CB4950">
        <w:rPr>
          <w:rFonts w:ascii="Calibri" w:eastAsia="Palatino Linotype"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9"/>
      </w:r>
      <w:r w:rsidRPr="00CB4950">
        <w:rPr>
          <w:rFonts w:ascii="Calibri" w:eastAsia="Palatino Linotype"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10"/>
      </w:r>
      <w:r w:rsidRPr="00CB4950">
        <w:rPr>
          <w:rFonts w:ascii="Calibri" w:eastAsia="Palatino Linotype"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11"/>
      </w:r>
      <w:r w:rsidRPr="00CB4950">
        <w:rPr>
          <w:rFonts w:ascii="Calibri" w:eastAsia="Palatino Linotype" w:hAnsi="Calibri" w:cs="Calibri"/>
          <w:color w:val="000000"/>
          <w:sz w:val="24"/>
          <w:szCs w:val="24"/>
          <w:u w:color="000000"/>
          <w:bdr w:val="nil"/>
        </w:rPr>
        <w:t xml:space="preserve"> Internationally, the 27</w:t>
      </w:r>
      <w:r w:rsidRPr="00CB4950">
        <w:rPr>
          <w:rFonts w:ascii="Calibri" w:eastAsia="Palatino Linotype" w:hAnsi="Calibri" w:cs="Calibri"/>
          <w:color w:val="000000"/>
          <w:sz w:val="24"/>
          <w:szCs w:val="24"/>
          <w:u w:color="000000"/>
          <w:bdr w:val="nil"/>
          <w:vertAlign w:val="superscript"/>
        </w:rPr>
        <w:t>th</w:t>
      </w:r>
      <w:r w:rsidRPr="00CB4950">
        <w:rPr>
          <w:rFonts w:ascii="Calibri" w:eastAsia="Palatino Linotype" w:hAnsi="Calibri" w:cs="Calibri"/>
          <w:color w:val="000000"/>
          <w:sz w:val="24"/>
          <w:szCs w:val="24"/>
          <w:u w:color="000000"/>
          <w:bdr w:val="nil"/>
        </w:rPr>
        <w:t xml:space="preserve"> Conference of the Parties to the United Nations Framework Convention on Climate Change (COP27) took place from 6 to 20 November in 2022, and hosted more than 100 Heads of State and Governments and over 35,000 participants who engaged in high-level meetings and key negotiations regarding climate action. UN Secretary-General Antonio Guterres said that more needs to be done to drastically reduce emissions now.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The world still needs a giant leap on climate ambition</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we can and must win this battle for our lives.</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He urged the world not to relent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in the fight for climate justice and climate ambition.</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vertAlign w:val="superscript"/>
        </w:rPr>
        <w:footnoteReference w:id="12"/>
      </w:r>
    </w:p>
    <w:p w14:paraId="3C32605A"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In the United States, this fight is focused on the release of methane, a potent greenhouse gas.</w:t>
      </w:r>
      <w:r w:rsidRPr="00CB4950">
        <w:rPr>
          <w:rFonts w:ascii="Calibri" w:eastAsia="Palatino Linotype" w:hAnsi="Calibri" w:cs="Calibri"/>
          <w:color w:val="000000"/>
          <w:sz w:val="24"/>
          <w:szCs w:val="24"/>
          <w:u w:color="000000"/>
          <w:bdr w:val="nil"/>
          <w:vertAlign w:val="superscript"/>
        </w:rPr>
        <w:footnoteReference w:id="13"/>
      </w:r>
      <w:r w:rsidRPr="00CB4950">
        <w:rPr>
          <w:rFonts w:ascii="Calibri" w:eastAsia="Palatino Linotype" w:hAnsi="Calibri" w:cs="Calibri"/>
          <w:color w:val="000000"/>
          <w:sz w:val="24"/>
          <w:szCs w:val="24"/>
          <w:u w:color="000000"/>
          <w:bdr w:val="nil"/>
        </w:rPr>
        <w:t xml:space="preserve"> The US is one of the world’s top 10 methane emitters, and methane emissions are a major contributor to climate change,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which is why President Biden is taking critical, commonsense steps at home to reduce methane across the economy.</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Last year the US announced that it was joining with more than 100 world governments to meet a Global Methane Pledge and reduce the world’s methane emissions 30% from 2020 levels by 2030.</w:t>
      </w:r>
      <w:r w:rsidRPr="00CB4950">
        <w:rPr>
          <w:rFonts w:ascii="Calibri" w:eastAsia="Palatino Linotype" w:hAnsi="Calibri" w:cs="Calibri"/>
          <w:color w:val="000000"/>
          <w:sz w:val="24"/>
          <w:szCs w:val="24"/>
          <w:u w:color="000000"/>
          <w:bdr w:val="nil"/>
          <w:vertAlign w:val="superscript"/>
        </w:rPr>
        <w:footnoteReference w:id="14"/>
      </w:r>
      <w:r w:rsidRPr="00CB4950">
        <w:rPr>
          <w:rFonts w:ascii="Calibri" w:eastAsia="Palatino Linotype" w:hAnsi="Calibri" w:cs="Calibri"/>
          <w:color w:val="000000"/>
          <w:sz w:val="24"/>
          <w:szCs w:val="24"/>
          <w:u w:color="000000"/>
          <w:bdr w:val="nil"/>
        </w:rPr>
        <w:t xml:space="preserve">  Humans produce the bulk of methane pollution, and atmospheric concentrations of methane have been trending upward for more than a decade,</w:t>
      </w:r>
      <w:r w:rsidRPr="00CB4950">
        <w:rPr>
          <w:rFonts w:ascii="Calibri" w:eastAsia="Palatino Linotype" w:hAnsi="Calibri" w:cs="Calibri"/>
          <w:color w:val="000000"/>
          <w:sz w:val="24"/>
          <w:szCs w:val="24"/>
          <w:u w:color="000000"/>
          <w:bdr w:val="nil"/>
          <w:vertAlign w:val="superscript"/>
        </w:rPr>
        <w:footnoteReference w:id="15"/>
      </w:r>
      <w:r w:rsidRPr="00CB4950">
        <w:rPr>
          <w:rFonts w:ascii="Calibri" w:eastAsia="Palatino Linotype" w:hAnsi="Calibri" w:cs="Calibri"/>
          <w:color w:val="000000"/>
          <w:sz w:val="24"/>
          <w:szCs w:val="24"/>
          <w:u w:color="000000"/>
          <w:bdr w:val="nil"/>
        </w:rPr>
        <w:t xml:space="preserve"> with landfills contributing 17% of US pollution,</w:t>
      </w:r>
      <w:r w:rsidRPr="00CB4950">
        <w:rPr>
          <w:rFonts w:ascii="Calibri" w:eastAsia="Palatino Linotype" w:hAnsi="Calibri" w:cs="Calibri"/>
          <w:color w:val="000000"/>
          <w:sz w:val="24"/>
          <w:szCs w:val="24"/>
          <w:u w:color="000000"/>
          <w:bdr w:val="nil"/>
          <w:vertAlign w:val="superscript"/>
        </w:rPr>
        <w:footnoteReference w:id="16"/>
      </w:r>
      <w:r w:rsidRPr="00CB4950">
        <w:rPr>
          <w:rFonts w:ascii="Calibri" w:eastAsia="Palatino Linotype" w:hAnsi="Calibri" w:cs="Calibri"/>
          <w:color w:val="000000"/>
          <w:sz w:val="24"/>
          <w:szCs w:val="24"/>
          <w:u w:color="000000"/>
          <w:bdr w:val="nil"/>
        </w:rPr>
        <w:t xml:space="preserve"> a figure which many experts say significantly underestimates landfill methane.</w:t>
      </w:r>
      <w:r w:rsidRPr="00CB4950">
        <w:rPr>
          <w:rFonts w:ascii="Calibri" w:eastAsia="Palatino Linotype" w:hAnsi="Calibri" w:cs="Calibri"/>
          <w:color w:val="000000"/>
          <w:sz w:val="24"/>
          <w:szCs w:val="24"/>
          <w:u w:color="000000"/>
          <w:bdr w:val="nil"/>
          <w:vertAlign w:val="superscript"/>
        </w:rPr>
        <w:footnoteReference w:id="17"/>
      </w:r>
      <w:r w:rsidRPr="00CB4950">
        <w:rPr>
          <w:rFonts w:ascii="Calibri" w:eastAsia="Palatino Linotype"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18"/>
      </w:r>
    </w:p>
    <w:p w14:paraId="73A7407F"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Through the 2021 Methane Emissions Reduction Plan, the US government is using all available tools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commonsense regulations, catalytic financial incentives, transparency and disclosure of actionable data, and public and private partnerships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to identify and cost-effectively reduce methane emissions from all major sources.</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As part of this Plan, in a carrot-and-stick manner, the EPA has begun to both catalyze multi-pronged action against, and assess penalties for, the release of methane into the atmosphere. </w:t>
      </w:r>
      <w:r w:rsidRPr="00CB4950">
        <w:rPr>
          <w:rFonts w:ascii="Calibri" w:eastAsia="Palatino Linotype" w:hAnsi="Calibri" w:cs="Calibri"/>
          <w:color w:val="000000"/>
          <w:sz w:val="24"/>
          <w:szCs w:val="24"/>
          <w:u w:color="000000"/>
          <w:bdr w:val="nil"/>
          <w:vertAlign w:val="superscript"/>
        </w:rPr>
        <w:footnoteReference w:id="19"/>
      </w:r>
      <w:r w:rsidRPr="00CB4950">
        <w:rPr>
          <w:rFonts w:ascii="Calibri" w:eastAsia="Palatino Linotype" w:hAnsi="Calibri" w:cs="Calibri"/>
          <w:color w:val="000000"/>
          <w:sz w:val="24"/>
          <w:szCs w:val="24"/>
          <w:u w:color="000000"/>
          <w:bdr w:val="nil"/>
        </w:rPr>
        <w:t xml:space="preserve"> The global monetized benefits for all market and nonmarket impacts are approximately $4300 per ton of methane reduced.</w:t>
      </w:r>
      <w:r w:rsidRPr="00CB4950">
        <w:rPr>
          <w:rFonts w:ascii="Calibri" w:eastAsia="Palatino Linotype" w:hAnsi="Calibri" w:cs="Calibri"/>
          <w:color w:val="000000"/>
          <w:sz w:val="24"/>
          <w:szCs w:val="24"/>
          <w:u w:color="000000"/>
          <w:bdr w:val="nil"/>
          <w:vertAlign w:val="superscript"/>
        </w:rPr>
        <w:footnoteReference w:id="20"/>
      </w:r>
      <w:r w:rsidRPr="00CB4950">
        <w:rPr>
          <w:rFonts w:ascii="Calibri" w:eastAsia="Palatino Linotype" w:hAnsi="Calibri" w:cs="Calibri"/>
          <w:color w:val="000000"/>
          <w:sz w:val="24"/>
          <w:szCs w:val="24"/>
          <w:u w:color="000000"/>
          <w:bdr w:val="nil"/>
        </w:rPr>
        <w:t xml:space="preserve"> </w:t>
      </w:r>
    </w:p>
    <w:p w14:paraId="7262463D"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3F2D86F9"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509FDF30"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b/>
          <w:bCs/>
          <w:color w:val="000000"/>
          <w:sz w:val="24"/>
          <w:szCs w:val="24"/>
          <w:u w:color="000000"/>
          <w:bdr w:val="nil"/>
        </w:rPr>
        <w:t>Relevance to Coffin Butte Landfill and its longevity</w:t>
      </w:r>
    </w:p>
    <w:p w14:paraId="20422163"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highlight w:val="yellow"/>
          <w:u w:color="000000"/>
          <w:bdr w:val="nil"/>
        </w:rPr>
        <w:t xml:space="preserve">Landfills are </w:t>
      </w:r>
      <w:commentRangeStart w:id="291"/>
      <w:r w:rsidRPr="00CB4950">
        <w:rPr>
          <w:rFonts w:ascii="Calibri" w:eastAsia="Palatino Linotype" w:hAnsi="Calibri" w:cs="Calibri"/>
          <w:color w:val="000000"/>
          <w:sz w:val="24"/>
          <w:szCs w:val="24"/>
          <w:highlight w:val="yellow"/>
          <w:u w:color="000000"/>
          <w:bdr w:val="nil"/>
        </w:rPr>
        <w:t>major</w:t>
      </w:r>
      <w:commentRangeEnd w:id="291"/>
      <w:r w:rsidRPr="00CB4950">
        <w:rPr>
          <w:rFonts w:ascii="Calibri" w:eastAsia="Calibri" w:hAnsi="Calibri" w:cs="Calibri"/>
          <w:sz w:val="24"/>
          <w:szCs w:val="24"/>
          <w:u w:color="000000"/>
        </w:rPr>
        <w:commentReference w:id="291"/>
      </w:r>
      <w:r w:rsidRPr="00CB4950">
        <w:rPr>
          <w:rFonts w:ascii="Calibri" w:eastAsia="Palatino Linotype" w:hAnsi="Calibri" w:cs="Calibri"/>
          <w:color w:val="000000"/>
          <w:sz w:val="24"/>
          <w:szCs w:val="24"/>
          <w:highlight w:val="yellow"/>
          <w:u w:color="000000"/>
          <w:bdr w:val="nil"/>
        </w:rPr>
        <w:t xml:space="preserve"> sources of methane, according to the EPA.</w:t>
      </w:r>
      <w:r w:rsidRPr="00CB4950">
        <w:rPr>
          <w:rFonts w:ascii="Calibri" w:eastAsia="Palatino Linotype" w:hAnsi="Calibri" w:cs="Calibri"/>
          <w:color w:val="000000"/>
          <w:sz w:val="24"/>
          <w:szCs w:val="24"/>
          <w:u w:color="000000"/>
          <w:bdr w:val="nil"/>
        </w:rPr>
        <w:t xml:space="preserve"> Landfilling inherently creates methane as a natural byproduct of the decomposition of organic material in landfills. Landfill gas is composed of roughly 50 percent methane (the primary component of natural gas), 50 percent carbon dioxide (CO</w:t>
      </w:r>
      <w:r w:rsidRPr="00CB4950">
        <w:rPr>
          <w:rFonts w:ascii="Calibri" w:eastAsia="Calibri" w:hAnsi="Calibri" w:cs="Calibri"/>
          <w:color w:val="000000"/>
          <w:sz w:val="24"/>
          <w:szCs w:val="24"/>
          <w:u w:color="000000"/>
          <w:bdr w:val="nil"/>
          <w:vertAlign w:val="subscript"/>
        </w:rPr>
        <w:t>2</w:t>
      </w:r>
      <w:r w:rsidRPr="00CB4950">
        <w:rPr>
          <w:rFonts w:ascii="Calibri" w:eastAsia="Palatino Linotype" w:hAnsi="Calibri" w:cs="Calibri"/>
          <w:color w:val="000000"/>
          <w:sz w:val="24"/>
          <w:szCs w:val="24"/>
          <w:u w:color="000000"/>
          <w:bdr w:val="nil"/>
        </w:rPr>
        <w:t xml:space="preserve">) and a small amount of non-methane organic compounds. Methane and carbon dioxide are odorless; </w:t>
      </w:r>
      <w:r w:rsidRPr="00CB4950">
        <w:rPr>
          <w:rFonts w:ascii="Calibri" w:eastAsia="Calibri" w:hAnsi="Calibri" w:cs="Calibri"/>
          <w:color w:val="000000"/>
          <w:sz w:val="24"/>
          <w:szCs w:val="24"/>
          <w:u w:color="000000"/>
          <w:bdr w:val="nil"/>
        </w:rPr>
        <w:t>“</w:t>
      </w:r>
      <w:r w:rsidRPr="00CB4950">
        <w:rPr>
          <w:rFonts w:ascii="Calibri" w:eastAsia="Palatino Linotype" w:hAnsi="Calibri" w:cs="Calibri"/>
          <w:color w:val="000000"/>
          <w:sz w:val="24"/>
          <w:szCs w:val="24"/>
          <w:u w:color="000000"/>
          <w:bdr w:val="nil"/>
        </w:rPr>
        <w:t>landfill smell</w:t>
      </w:r>
      <w:r w:rsidRPr="00CB4950">
        <w:rPr>
          <w:rFonts w:ascii="Calibri" w:eastAsia="Calibri"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rPr>
        <w:t xml:space="preserve">is from the trace non-methane organic compounds. </w:t>
      </w:r>
      <w:r w:rsidRPr="00CB4950">
        <w:rPr>
          <w:rFonts w:ascii="Calibri" w:eastAsia="Palatino Linotype" w:hAnsi="Calibri" w:cs="Calibri"/>
          <w:color w:val="000000"/>
          <w:sz w:val="24"/>
          <w:szCs w:val="24"/>
          <w:u w:color="000000"/>
          <w:bdr w:val="nil"/>
          <w:vertAlign w:val="superscript"/>
        </w:rPr>
        <w:footnoteReference w:id="21"/>
      </w:r>
    </w:p>
    <w:p w14:paraId="24078A7D"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sz w:val="24"/>
          <w:szCs w:val="24"/>
          <w:u w:color="000000"/>
          <w:bdr w:val="nil"/>
        </w:rPr>
      </w:pPr>
      <w:r w:rsidRPr="00CB4950">
        <w:rPr>
          <w:rFonts w:ascii="Calibri" w:eastAsia="Palatino Linotype" w:hAnsi="Calibri" w:cs="Calibri"/>
          <w:sz w:val="24"/>
          <w:szCs w:val="24"/>
          <w:u w:color="000000"/>
          <w:bdr w:val="nil"/>
        </w:rPr>
        <w:t xml:space="preserve">For a more complete context of landfill emissions and their relative greenhouse gas impacts, </w:t>
      </w:r>
      <w:hyperlink r:id="rId54" w:tgtFrame="_blank" w:history="1">
        <w:r w:rsidRPr="00CB4950">
          <w:rPr>
            <w:rFonts w:ascii="Calibri" w:eastAsia="Palatino Linotype" w:hAnsi="Calibri" w:cs="Calibri"/>
            <w:sz w:val="24"/>
            <w:szCs w:val="24"/>
            <w:u w:val="single" w:color="000000"/>
            <w:bdr w:val="nil"/>
          </w:rPr>
          <w:t>Oregon's consumption-based greenhouse gas emissions in 2015</w:t>
        </w:r>
      </w:hyperlink>
      <w:r w:rsidRPr="00CB4950">
        <w:rPr>
          <w:rFonts w:ascii="Calibri" w:eastAsia="Palatino Linotype" w:hAnsi="Calibri" w:cs="Calibri"/>
          <w:sz w:val="24"/>
          <w:szCs w:val="24"/>
          <w:u w:color="000000"/>
          <w:bdr w:val="nil"/>
        </w:rPr>
        <w:t> show that approximately “one percent of emissions stem from post-consumer disposal of wastes”, leaving about 99% of the consumption-based greenhouse gas emissions resulting from “upstream” consumption of materials in Oregon, including production and supply chain, transportation, wholesale and retail, and use life-cycle phases.</w:t>
      </w:r>
      <w:r w:rsidRPr="00CB4950">
        <w:rPr>
          <w:rFonts w:ascii="Calibri" w:eastAsia="Palatino Linotype" w:hAnsi="Calibri" w:cs="Calibri"/>
          <w:sz w:val="24"/>
          <w:szCs w:val="24"/>
          <w:u w:color="000000"/>
          <w:bdr w:val="nil"/>
          <w:vertAlign w:val="superscript"/>
        </w:rPr>
        <w:footnoteReference w:id="22"/>
      </w:r>
    </w:p>
    <w:p w14:paraId="5058A7BD"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commentRangeStart w:id="292"/>
      <w:commentRangeStart w:id="293"/>
      <w:r w:rsidRPr="00CB4950">
        <w:rPr>
          <w:rFonts w:ascii="Calibri" w:eastAsia="Palatino Linotype" w:hAnsi="Calibri" w:cs="Calibri"/>
          <w:sz w:val="24"/>
          <w:szCs w:val="24"/>
          <w:u w:color="000000"/>
          <w:bdr w:val="nil"/>
        </w:rPr>
        <w:t xml:space="preserve">For a more complete </w:t>
      </w:r>
      <w:commentRangeEnd w:id="292"/>
      <w:r w:rsidRPr="00CB4950">
        <w:rPr>
          <w:rFonts w:eastAsia="Calibri" w:cs="Arial"/>
          <w:sz w:val="16"/>
          <w:szCs w:val="16"/>
        </w:rPr>
        <w:commentReference w:id="292"/>
      </w:r>
      <w:commentRangeEnd w:id="293"/>
      <w:r w:rsidRPr="00CB4950">
        <w:rPr>
          <w:rFonts w:eastAsia="Calibri" w:cs="Arial"/>
          <w:sz w:val="16"/>
          <w:szCs w:val="16"/>
        </w:rPr>
        <w:commentReference w:id="293"/>
      </w:r>
      <w:r w:rsidRPr="00CB4950">
        <w:rPr>
          <w:rFonts w:ascii="Calibri" w:eastAsia="Palatino Linotype" w:hAnsi="Calibri" w:cs="Calibri"/>
          <w:sz w:val="24"/>
          <w:szCs w:val="24"/>
          <w:u w:color="000000"/>
          <w:bdr w:val="nil"/>
        </w:rPr>
        <w:t>context of Oregon landfill emissions, “</w:t>
      </w:r>
      <w:r w:rsidRPr="00CB4950">
        <w:rPr>
          <w:rFonts w:ascii="Calibri" w:eastAsia="Palatino Linotype" w:hAnsi="Calibri" w:cs="Calibri"/>
          <w:color w:val="000000"/>
          <w:sz w:val="24"/>
          <w:szCs w:val="24"/>
          <w:u w:color="000000"/>
          <w:bdr w:val="nil"/>
        </w:rPr>
        <w:t>Since 1990, [sector-based] statewide</w:t>
      </w:r>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emissions from waste have increased from 1.7 million MTCO2e to 2.3 million MTCO2e.</w:t>
      </w:r>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Additionally, while statewide emissions decreased from 2005 through 2011, emissions from</w:t>
      </w:r>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 xml:space="preserve">waste increased during the same </w:t>
      </w:r>
      <w:proofErr w:type="gramStart"/>
      <w:r w:rsidRPr="00CB4950">
        <w:rPr>
          <w:rFonts w:ascii="Calibri" w:eastAsia="Palatino Linotype" w:hAnsi="Calibri" w:cs="Calibri"/>
          <w:color w:val="000000"/>
          <w:sz w:val="24"/>
          <w:szCs w:val="24"/>
          <w:u w:color="000000"/>
          <w:bdr w:val="nil"/>
        </w:rPr>
        <w:t>time period</w:t>
      </w:r>
      <w:proofErr w:type="gramEnd"/>
      <w:r w:rsidRPr="00CB4950">
        <w:rPr>
          <w:rFonts w:ascii="Calibri" w:eastAsia="Palatino Linotype" w:hAnsi="Calibri" w:cs="Calibri"/>
          <w:color w:val="000000"/>
          <w:sz w:val="24"/>
          <w:szCs w:val="24"/>
          <w:u w:color="000000"/>
          <w:bdr w:val="nil"/>
        </w:rPr>
        <w:t xml:space="preserve">. </w:t>
      </w:r>
      <w:proofErr w:type="gramStart"/>
      <w:r w:rsidRPr="00CB4950">
        <w:rPr>
          <w:rFonts w:ascii="Calibri" w:eastAsia="Palatino Linotype" w:hAnsi="Calibri" w:cs="Calibri"/>
          <w:color w:val="000000"/>
          <w:sz w:val="24"/>
          <w:szCs w:val="24"/>
          <w:u w:color="000000"/>
          <w:bdr w:val="nil"/>
        </w:rPr>
        <w:t>The majority of</w:t>
      </w:r>
      <w:proofErr w:type="gramEnd"/>
      <w:r w:rsidRPr="00CB4950">
        <w:rPr>
          <w:rFonts w:ascii="Calibri" w:eastAsia="Palatino Linotype" w:hAnsi="Calibri" w:cs="Calibri"/>
          <w:color w:val="000000"/>
          <w:sz w:val="24"/>
          <w:szCs w:val="24"/>
          <w:u w:color="000000"/>
          <w:bdr w:val="nil"/>
        </w:rPr>
        <w:t xml:space="preserve"> emissions from waste are fugitive</w:t>
      </w:r>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methane emissions from municipal solid waste landfills in Oregon.</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Oregon's </w:t>
      </w:r>
      <w:proofErr w:type="gramStart"/>
      <w:r w:rsidRPr="00CB4950">
        <w:rPr>
          <w:rFonts w:ascii="Calibri" w:eastAsia="Palatino Linotype" w:hAnsi="Calibri" w:cs="Calibri"/>
          <w:color w:val="000000"/>
          <w:sz w:val="24"/>
          <w:szCs w:val="24"/>
          <w:u w:color="000000"/>
          <w:bdr w:val="nil"/>
        </w:rPr>
        <w:t>consumption based</w:t>
      </w:r>
      <w:proofErr w:type="gramEnd"/>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greenhouse gas emissions for waste (post-consumer disposal) in 2015 are estimated at</w:t>
      </w:r>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500,000 MTCO2e. Sector-based emissions are those produced in Oregon; consumption-based</w:t>
      </w:r>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emissions are those produced around the world due to Oregon’s consumption of energy, goods</w:t>
      </w:r>
      <w:r w:rsidRPr="00CB4950">
        <w:rPr>
          <w:rFonts w:ascii="Calibri" w:eastAsia="Palatino Linotype" w:hAnsi="Calibri" w:cs="Calibri"/>
          <w:color w:val="FF0000"/>
          <w:sz w:val="24"/>
          <w:szCs w:val="24"/>
          <w:u w:color="000000"/>
          <w:bdr w:val="nil"/>
        </w:rPr>
        <w:t xml:space="preserve"> </w:t>
      </w:r>
      <w:r w:rsidRPr="00CB4950">
        <w:rPr>
          <w:rFonts w:ascii="Calibri" w:eastAsia="Palatino Linotype" w:hAnsi="Calibri" w:cs="Calibri"/>
          <w:color w:val="000000"/>
          <w:sz w:val="24"/>
          <w:szCs w:val="24"/>
          <w:u w:color="000000"/>
          <w:bdr w:val="nil"/>
        </w:rPr>
        <w:t>and services.</w:t>
      </w:r>
      <w:r w:rsidRPr="00CB4950">
        <w:rPr>
          <w:rFonts w:ascii="Calibri" w:eastAsia="Palatino Linotype" w:hAnsi="Calibri" w:cs="Calibri"/>
          <w:color w:val="000000"/>
          <w:sz w:val="24"/>
          <w:szCs w:val="24"/>
          <w:u w:color="000000"/>
          <w:bdr w:val="nil"/>
          <w:vertAlign w:val="superscript"/>
        </w:rPr>
        <w:footnoteReference w:id="23"/>
      </w:r>
    </w:p>
    <w:p w14:paraId="7427DEB0"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FF0000"/>
          <w:sz w:val="24"/>
          <w:szCs w:val="24"/>
          <w:u w:color="000000"/>
          <w:bdr w:val="nil"/>
        </w:rPr>
      </w:pPr>
    </w:p>
    <w:p w14:paraId="38970EC2" w14:textId="77777777" w:rsidR="006F646F" w:rsidRPr="00CB4950" w:rsidRDefault="006F646F" w:rsidP="006F646F">
      <w:pPr>
        <w:keepNext/>
        <w:spacing w:line="240" w:lineRule="auto"/>
        <w:rPr>
          <w:rFonts w:ascii="Calibri" w:eastAsia="MS Mincho" w:hAnsi="Calibri" w:cs="Calibri"/>
          <w:b/>
          <w:bCs/>
          <w:color w:val="FF0000"/>
          <w:sz w:val="24"/>
          <w:szCs w:val="24"/>
        </w:rPr>
      </w:pPr>
      <w:commentRangeStart w:id="294"/>
      <w:r w:rsidRPr="00CB4950">
        <w:rPr>
          <w:rFonts w:ascii="Calibri" w:eastAsia="MS Mincho" w:hAnsi="Calibri" w:cs="Calibri"/>
          <w:b/>
          <w:bCs/>
          <w:color w:val="FF0000"/>
          <w:sz w:val="24"/>
          <w:szCs w:val="24"/>
        </w:rPr>
        <w:t xml:space="preserve">Figure </w:t>
      </w:r>
      <w:r w:rsidRPr="00CB4950">
        <w:rPr>
          <w:rFonts w:ascii="Calibri" w:eastAsia="MS Mincho" w:hAnsi="Calibri" w:cs="Calibri"/>
          <w:b/>
          <w:bCs/>
          <w:color w:val="FF0000"/>
          <w:sz w:val="24"/>
          <w:szCs w:val="24"/>
        </w:rPr>
        <w:fldChar w:fldCharType="begin"/>
      </w:r>
      <w:r w:rsidRPr="00CB4950">
        <w:rPr>
          <w:rFonts w:ascii="Calibri" w:eastAsia="MS Mincho" w:hAnsi="Calibri" w:cs="Calibri"/>
          <w:b/>
          <w:bCs/>
          <w:color w:val="FF0000"/>
          <w:sz w:val="24"/>
          <w:szCs w:val="24"/>
        </w:rPr>
        <w:instrText xml:space="preserve"> SEQ Figure \* ARABIC </w:instrText>
      </w:r>
      <w:r w:rsidRPr="00CB4950">
        <w:rPr>
          <w:rFonts w:ascii="Calibri" w:eastAsia="MS Mincho" w:hAnsi="Calibri" w:cs="Calibri"/>
          <w:b/>
          <w:bCs/>
          <w:color w:val="FF0000"/>
          <w:sz w:val="24"/>
          <w:szCs w:val="24"/>
        </w:rPr>
        <w:fldChar w:fldCharType="separate"/>
      </w:r>
      <w:r w:rsidRPr="00CB4950">
        <w:rPr>
          <w:rFonts w:ascii="Calibri" w:eastAsia="MS Mincho" w:hAnsi="Calibri" w:cs="Calibri"/>
          <w:b/>
          <w:bCs/>
          <w:color w:val="FF0000"/>
          <w:sz w:val="24"/>
          <w:szCs w:val="24"/>
        </w:rPr>
        <w:t>12</w:t>
      </w:r>
      <w:r w:rsidRPr="00CB4950">
        <w:rPr>
          <w:rFonts w:ascii="Calibri" w:eastAsia="MS Mincho" w:hAnsi="Calibri" w:cs="Calibri"/>
          <w:b/>
          <w:bCs/>
          <w:color w:val="FF0000"/>
          <w:sz w:val="24"/>
          <w:szCs w:val="24"/>
        </w:rPr>
        <w:fldChar w:fldCharType="end"/>
      </w:r>
      <w:commentRangeEnd w:id="294"/>
      <w:r w:rsidRPr="00CB4950">
        <w:rPr>
          <w:rFonts w:ascii="Calibri" w:eastAsia="Calibri" w:hAnsi="Calibri" w:cs="Calibri"/>
          <w:bCs/>
          <w:color w:val="FF0000"/>
          <w:sz w:val="24"/>
          <w:szCs w:val="24"/>
        </w:rPr>
        <w:commentReference w:id="294"/>
      </w:r>
    </w:p>
    <w:p w14:paraId="161DF608"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Calibri" w:hAnsi="Calibri" w:cs="Calibri"/>
          <w:noProof/>
          <w:color w:val="000000"/>
          <w:sz w:val="24"/>
          <w:szCs w:val="24"/>
          <w:u w:color="000000"/>
          <w:bdr w:val="nil"/>
        </w:rPr>
        <w:drawing>
          <wp:inline distT="0" distB="0" distL="0" distR="0" wp14:anchorId="268616B0" wp14:editId="012120A1">
            <wp:extent cx="6217920" cy="2922270"/>
            <wp:effectExtent l="0" t="0" r="0" b="0"/>
            <wp:docPr id="1073741836" name="Picture 107374183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Picture 1073741836" descr="Graphical user interface&#10;&#10;Description automatically generated"/>
                    <pic:cNvPicPr/>
                  </pic:nvPicPr>
                  <pic:blipFill>
                    <a:blip r:embed="rId55"/>
                    <a:stretch>
                      <a:fillRect/>
                    </a:stretch>
                  </pic:blipFill>
                  <pic:spPr>
                    <a:xfrm>
                      <a:off x="0" y="0"/>
                      <a:ext cx="6217920" cy="2922270"/>
                    </a:xfrm>
                    <a:prstGeom prst="rect">
                      <a:avLst/>
                    </a:prstGeom>
                  </pic:spPr>
                </pic:pic>
              </a:graphicData>
            </a:graphic>
          </wp:inline>
        </w:drawing>
      </w:r>
    </w:p>
    <w:p w14:paraId="1674444F"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It’s known that Coffin Butte Landfill has greenhouse gas emissions, but to date they have not been well-characterized by Republic Services or by Benton County. The US Environmental Protection Agency estimates that Coffin Butte Landfill’s methane collection system converts 57% of its methane to CO2, which is relatively inefficient as compared to other Oregon landfills such as Columbia Ridge (85%) and Dry Creek (80%).</w:t>
      </w:r>
      <w:r w:rsidRPr="00CB4950">
        <w:rPr>
          <w:rFonts w:ascii="Calibri" w:eastAsia="Palatino Linotype" w:hAnsi="Calibri" w:cs="Calibri"/>
          <w:color w:val="000000"/>
          <w:sz w:val="24"/>
          <w:szCs w:val="24"/>
          <w:u w:color="000000"/>
          <w:bdr w:val="nil"/>
          <w:vertAlign w:val="superscript"/>
        </w:rPr>
        <w:footnoteReference w:id="24"/>
      </w:r>
    </w:p>
    <w:p w14:paraId="056D5568"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4E722DEE"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b/>
          <w:bCs/>
          <w:color w:val="000000"/>
          <w:sz w:val="24"/>
          <w:szCs w:val="24"/>
          <w:u w:color="000000"/>
          <w:bdr w:val="nil"/>
        </w:rPr>
        <w:t xml:space="preserve">Changes to the Landfill’s emissions status </w:t>
      </w:r>
      <w:proofErr w:type="gramStart"/>
      <w:r w:rsidRPr="00CB4950">
        <w:rPr>
          <w:rFonts w:ascii="Calibri" w:eastAsia="Palatino Linotype" w:hAnsi="Calibri" w:cs="Calibri"/>
          <w:b/>
          <w:bCs/>
          <w:color w:val="000000"/>
          <w:sz w:val="24"/>
          <w:szCs w:val="24"/>
          <w:u w:color="000000"/>
          <w:bdr w:val="nil"/>
        </w:rPr>
        <w:t>in the near future</w:t>
      </w:r>
      <w:proofErr w:type="gramEnd"/>
    </w:p>
    <w:p w14:paraId="0D58D151"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In the past methane pollution has been difficult to quantify. For landfills, historically the EPA has relied on theoretical calculations to estimate pollution, but these mathematical models </w:t>
      </w:r>
      <w:proofErr w:type="gramStart"/>
      <w:r w:rsidRPr="00CB4950">
        <w:rPr>
          <w:rFonts w:ascii="Calibri" w:eastAsia="Palatino Linotype" w:hAnsi="Calibri" w:cs="Calibri"/>
          <w:color w:val="000000"/>
          <w:sz w:val="24"/>
          <w:szCs w:val="24"/>
          <w:u w:color="000000"/>
          <w:bdr w:val="nil"/>
        </w:rPr>
        <w:t>by definition produce</w:t>
      </w:r>
      <w:proofErr w:type="gramEnd"/>
      <w:r w:rsidRPr="00CB4950">
        <w:rPr>
          <w:rFonts w:ascii="Calibri" w:eastAsia="Palatino Linotype" w:hAnsi="Calibri" w:cs="Calibri"/>
          <w:color w:val="000000"/>
          <w:sz w:val="24"/>
          <w:szCs w:val="24"/>
          <w:u w:color="000000"/>
          <w:bdr w:val="nil"/>
        </w:rPr>
        <w:t xml:space="preserve"> estimates, not exact data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 useful at a national level but less so at a </w:t>
      </w:r>
      <w:proofErr w:type="spellStart"/>
      <w:r w:rsidRPr="00CB4950">
        <w:rPr>
          <w:rFonts w:ascii="Calibri" w:eastAsia="Palatino Linotype" w:hAnsi="Calibri" w:cs="Calibri"/>
          <w:color w:val="000000"/>
          <w:sz w:val="24"/>
          <w:szCs w:val="24"/>
          <w:u w:color="000000"/>
          <w:bdr w:val="nil"/>
        </w:rPr>
        <w:t>perlandfill</w:t>
      </w:r>
      <w:proofErr w:type="spellEnd"/>
      <w:r w:rsidRPr="00CB4950">
        <w:rPr>
          <w:rFonts w:ascii="Calibri" w:eastAsia="Palatino Linotype" w:hAnsi="Calibri" w:cs="Calibri"/>
          <w:color w:val="000000"/>
          <w:sz w:val="24"/>
          <w:szCs w:val="24"/>
          <w:u w:color="000000"/>
          <w:bdr w:val="nil"/>
        </w:rPr>
        <w:t xml:space="preserve"> level. In response, other organizations have engineered their own models that are more useful for assessing emissions at a particular landfill. In recent years, focus has shifted to better direct measurement technologies for more accurate and transparent emissions reporting.</w:t>
      </w:r>
      <w:r w:rsidRPr="00CB4950">
        <w:rPr>
          <w:rFonts w:ascii="Calibri" w:eastAsia="Palatino Linotype" w:hAnsi="Calibri" w:cs="Calibri"/>
          <w:color w:val="000000"/>
          <w:sz w:val="24"/>
          <w:szCs w:val="24"/>
          <w:u w:color="000000"/>
          <w:bdr w:val="nil"/>
          <w:vertAlign w:val="superscript"/>
        </w:rPr>
        <w:footnoteReference w:id="25"/>
      </w:r>
    </w:p>
    <w:p w14:paraId="2362B957"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Using area measurement tools deployed on satellites, aircraft, and towers, the Environmental Defense Fund has shown that landfill outputs are generally higher than EPA calculations indicate. Carbon-Mapper, a joint public-private enterprise, focuses on identifying </w:t>
      </w:r>
      <w:proofErr w:type="spellStart"/>
      <w:r w:rsidRPr="00CB4950">
        <w:rPr>
          <w:rFonts w:ascii="Calibri" w:eastAsia="Palatino Linotype" w:hAnsi="Calibri" w:cs="Calibri"/>
          <w:color w:val="000000"/>
          <w:sz w:val="24"/>
          <w:szCs w:val="24"/>
          <w:u w:color="000000"/>
          <w:bdr w:val="nil"/>
        </w:rPr>
        <w:t>superemi</w:t>
      </w:r>
      <w:proofErr w:type="spellEnd"/>
      <w:r w:rsidRPr="00CB4950">
        <w:rPr>
          <w:rFonts w:ascii="Calibri" w:eastAsia="Palatino Linotype" w:hAnsi="Calibri" w:cs="Calibri"/>
          <w:color w:val="000000"/>
          <w:sz w:val="24"/>
          <w:szCs w:val="24"/>
          <w:u w:color="000000"/>
          <w:bdr w:val="nil"/>
        </w:rPr>
        <w:t xml:space="preserve"> </w:t>
      </w:r>
      <w:proofErr w:type="spellStart"/>
      <w:r w:rsidRPr="00CB4950">
        <w:rPr>
          <w:rFonts w:ascii="Calibri" w:eastAsia="Palatino Linotype" w:hAnsi="Calibri" w:cs="Calibri"/>
          <w:color w:val="000000"/>
          <w:sz w:val="24"/>
          <w:szCs w:val="24"/>
          <w:u w:color="000000"/>
          <w:bdr w:val="nil"/>
        </w:rPr>
        <w:t>tters</w:t>
      </w:r>
      <w:proofErr w:type="spellEnd"/>
      <w:r w:rsidRPr="00CB4950">
        <w:rPr>
          <w:rFonts w:ascii="Calibri" w:eastAsia="Palatino Linotype" w:hAnsi="Calibri" w:cs="Calibri"/>
          <w:color w:val="000000"/>
          <w:sz w:val="24"/>
          <w:szCs w:val="24"/>
          <w:u w:color="000000"/>
          <w:bdr w:val="nil"/>
        </w:rPr>
        <w:t>, because a previous flyover project across California discovered that only 1% of sites produced 50% of methane emissions, and the largest emissions were from landfills.</w:t>
      </w:r>
      <w:r w:rsidRPr="00CB4950">
        <w:rPr>
          <w:rFonts w:ascii="Calibri" w:eastAsia="Palatino Linotype" w:hAnsi="Calibri" w:cs="Calibri"/>
          <w:color w:val="000000"/>
          <w:sz w:val="24"/>
          <w:szCs w:val="24"/>
          <w:u w:color="000000"/>
          <w:bdr w:val="nil"/>
          <w:vertAlign w:val="superscript"/>
        </w:rPr>
        <w:footnoteReference w:id="26"/>
      </w:r>
      <w:r w:rsidRPr="00CB4950">
        <w:rPr>
          <w:rFonts w:ascii="Calibri" w:eastAsia="Palatino Linotype" w:hAnsi="Calibri" w:cs="Calibri"/>
          <w:color w:val="000000"/>
          <w:sz w:val="24"/>
          <w:szCs w:val="24"/>
          <w:u w:color="000000"/>
          <w:bdr w:val="nil"/>
        </w:rPr>
        <w:t xml:space="preserve"> Carbon- Mapper plans to launch two satellites in 2023, building to a suite of 20 satellites eventually; these will join other systems such as </w:t>
      </w:r>
      <w:proofErr w:type="spellStart"/>
      <w:r w:rsidRPr="00CB4950">
        <w:rPr>
          <w:rFonts w:ascii="Calibri" w:eastAsia="Palatino Linotype" w:hAnsi="Calibri" w:cs="Calibri"/>
          <w:color w:val="000000"/>
          <w:sz w:val="24"/>
          <w:szCs w:val="24"/>
          <w:u w:color="000000"/>
          <w:bdr w:val="nil"/>
        </w:rPr>
        <w:t>Kayrros</w:t>
      </w:r>
      <w:proofErr w:type="spellEnd"/>
      <w:r w:rsidRPr="00CB4950">
        <w:rPr>
          <w:rFonts w:ascii="Calibri" w:eastAsia="Palatino Linotype" w:hAnsi="Calibri" w:cs="Calibri"/>
          <w:color w:val="000000"/>
          <w:sz w:val="24"/>
          <w:szCs w:val="24"/>
          <w:u w:color="000000"/>
          <w:bdr w:val="nil"/>
        </w:rPr>
        <w:t xml:space="preserve">, a French company, </w:t>
      </w:r>
      <w:proofErr w:type="spellStart"/>
      <w:r w:rsidRPr="00CB4950">
        <w:rPr>
          <w:rFonts w:ascii="Calibri" w:eastAsia="Palatino Linotype" w:hAnsi="Calibri" w:cs="Calibri"/>
          <w:color w:val="000000"/>
          <w:sz w:val="24"/>
          <w:szCs w:val="24"/>
          <w:u w:color="000000"/>
          <w:bdr w:val="nil"/>
        </w:rPr>
        <w:t>GHGSat</w:t>
      </w:r>
      <w:proofErr w:type="spellEnd"/>
      <w:r w:rsidRPr="00CB4950">
        <w:rPr>
          <w:rFonts w:ascii="Calibri" w:eastAsia="Palatino Linotype" w:hAnsi="Calibri" w:cs="Calibri"/>
          <w:color w:val="000000"/>
          <w:sz w:val="24"/>
          <w:szCs w:val="24"/>
          <w:u w:color="000000"/>
          <w:bdr w:val="nil"/>
        </w:rPr>
        <w:t xml:space="preserve">, a Canadian company, and </w:t>
      </w:r>
      <w:proofErr w:type="spellStart"/>
      <w:r w:rsidRPr="00CB4950">
        <w:rPr>
          <w:rFonts w:ascii="Calibri" w:eastAsia="Palatino Linotype" w:hAnsi="Calibri" w:cs="Calibri"/>
          <w:color w:val="000000"/>
          <w:sz w:val="24"/>
          <w:szCs w:val="24"/>
          <w:u w:color="000000"/>
          <w:bdr w:val="nil"/>
        </w:rPr>
        <w:t>MethaneSAT</w:t>
      </w:r>
      <w:proofErr w:type="spellEnd"/>
      <w:r w:rsidRPr="00CB4950">
        <w:rPr>
          <w:rFonts w:ascii="Calibri" w:eastAsia="Palatino Linotype" w:hAnsi="Calibri" w:cs="Calibri"/>
          <w:color w:val="000000"/>
          <w:sz w:val="24"/>
          <w:szCs w:val="24"/>
          <w:u w:color="000000"/>
          <w:bdr w:val="nil"/>
        </w:rPr>
        <w:t>, a subsidiary of the EDF.</w:t>
      </w:r>
      <w:r w:rsidRPr="00CB4950">
        <w:rPr>
          <w:rFonts w:ascii="Calibri" w:eastAsia="Palatino Linotype" w:hAnsi="Calibri" w:cs="Calibri"/>
          <w:color w:val="000000"/>
          <w:sz w:val="24"/>
          <w:szCs w:val="24"/>
          <w:u w:color="000000"/>
          <w:bdr w:val="nil"/>
          <w:vertAlign w:val="superscript"/>
        </w:rPr>
        <w:footnoteReference w:id="27"/>
      </w:r>
    </w:p>
    <w:p w14:paraId="1D6CF8D4"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These developments all signal a changed operating environment for Coffin Butte Landfill, one in which its greenhouse gas emissions move from being unknown and unexamined to being an open number impacting business competitiveness, waste flows, operating costs, regulatory fines, corporate investment levels, public action, and more.</w:t>
      </w:r>
      <w:r w:rsidRPr="00CB4950">
        <w:rPr>
          <w:rFonts w:ascii="Calibri" w:eastAsia="Palatino Linotype" w:hAnsi="Calibri" w:cs="Calibri"/>
          <w:color w:val="000000"/>
          <w:sz w:val="24"/>
          <w:szCs w:val="24"/>
          <w:u w:color="000000"/>
          <w:bdr w:val="nil"/>
          <w:vertAlign w:val="superscript"/>
        </w:rPr>
        <w:footnoteReference w:id="28"/>
      </w:r>
      <w:r w:rsidRPr="00CB4950">
        <w:rPr>
          <w:rFonts w:ascii="Calibri" w:eastAsia="Palatino Linotype" w:hAnsi="Calibri" w:cs="Calibri"/>
          <w:color w:val="000000"/>
          <w:sz w:val="24"/>
          <w:szCs w:val="24"/>
          <w:u w:color="000000"/>
          <w:bdr w:val="nil"/>
        </w:rPr>
        <w:t xml:space="preserve"> Coffin Butte Landfill may be a particular target, because its wet environment converts waste to methane quickly.</w:t>
      </w:r>
    </w:p>
    <w:p w14:paraId="789295A9"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It</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 xml:space="preserve">s important to note that landfill methane poses a lesser-of-evils situation. The best-case environmental outcome for methane, once it is generated from municipal solid waste, is for it to oxidize into carbon dioxide, i.e., for it to transition from a quick-acting high-impact greenhouse gas into a slower-acting, durable greenhouse gas. Methane is not </w:t>
      </w:r>
      <w:r w:rsidRPr="00CB4950">
        <w:rPr>
          <w:rFonts w:ascii="Calibri" w:eastAsia="Palatino Linotype" w:hAnsi="Calibri" w:cs="Calibri" w:hint="eastAsia"/>
          <w:color w:val="000000"/>
          <w:sz w:val="24"/>
          <w:szCs w:val="24"/>
          <w:u w:color="000000"/>
          <w:bdr w:val="nil"/>
        </w:rPr>
        <w:t>“</w:t>
      </w:r>
      <w:r w:rsidRPr="00CB4950">
        <w:rPr>
          <w:rFonts w:ascii="Calibri" w:eastAsia="Palatino Linotype" w:hAnsi="Calibri" w:cs="Calibri"/>
          <w:color w:val="000000"/>
          <w:sz w:val="24"/>
          <w:szCs w:val="24"/>
          <w:u w:color="000000"/>
          <w:bdr w:val="nil"/>
        </w:rPr>
        <w:t>destroyed</w:t>
      </w:r>
      <w:proofErr w:type="gramStart"/>
      <w:r w:rsidRPr="00CB4950">
        <w:rPr>
          <w:rFonts w:ascii="Calibri" w:eastAsia="Palatino Linotype" w:hAnsi="Calibri" w:cs="Calibri" w:hint="eastAsia"/>
          <w:color w:val="000000"/>
          <w:sz w:val="24"/>
          <w:szCs w:val="24"/>
          <w:u w:color="000000"/>
          <w:bdr w:val="nil"/>
        </w:rPr>
        <w:t>”</w:t>
      </w:r>
      <w:proofErr w:type="gramEnd"/>
      <w:r w:rsidRPr="00CB4950">
        <w:rPr>
          <w:rFonts w:ascii="Calibri" w:eastAsia="Palatino Linotype" w:hAnsi="Calibri" w:cs="Calibri"/>
          <w:color w:val="000000"/>
          <w:sz w:val="24"/>
          <w:szCs w:val="24"/>
          <w:u w:color="000000"/>
          <w:bdr w:val="nil"/>
        </w:rPr>
        <w:t xml:space="preserve"> nor does it become carbon neutral. Therefore, the best way to mitigate landfill methane is never to create it in the first place, i.e., to divert waste, especially organic waste, from ever entering a landfill. This is a fundamental logic at work with landfill methane now and into the future.</w:t>
      </w:r>
      <w:r w:rsidRPr="00CB4950">
        <w:rPr>
          <w:rFonts w:ascii="Calibri" w:eastAsia="Palatino Linotype" w:hAnsi="Calibri" w:cs="Calibri"/>
          <w:color w:val="000000"/>
          <w:sz w:val="24"/>
          <w:szCs w:val="24"/>
          <w:u w:color="000000"/>
          <w:bdr w:val="nil"/>
          <w:vertAlign w:val="superscript"/>
        </w:rPr>
        <w:footnoteReference w:id="29"/>
      </w:r>
    </w:p>
    <w:p w14:paraId="2A845A86"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32919056"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b/>
          <w:color w:val="000000"/>
          <w:sz w:val="24"/>
          <w:szCs w:val="24"/>
          <w:u w:color="000000"/>
          <w:bdr w:val="nil"/>
        </w:rPr>
      </w:pPr>
      <w:r w:rsidRPr="00CB4950">
        <w:rPr>
          <w:rFonts w:ascii="Calibri" w:eastAsia="Calibri" w:hAnsi="Calibri" w:cs="Calibri"/>
          <w:b/>
          <w:color w:val="000000"/>
          <w:sz w:val="24"/>
          <w:szCs w:val="24"/>
          <w:u w:color="000000"/>
          <w:bdr w:val="nil"/>
        </w:rPr>
        <w:t xml:space="preserve">Climate Crisis Legislation </w:t>
      </w:r>
    </w:p>
    <w:p w14:paraId="155AFBED"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US focus on methane reduction for landfilling began manifesting in January 2023, with the signing of the Food Donation Improvement Act. America wastes about 30-40% of its food, and food waste is the most common material found in landfills, estimated at roughly a quarter of material. When landfilled, food waste converts readily to methane. The bipartisan Act offers benefits beyond methane reduction, which is typical when initiatives target waste. </w:t>
      </w:r>
      <w:r w:rsidRPr="00CB4950">
        <w:rPr>
          <w:rFonts w:ascii="Calibri" w:eastAsia="Palatino Linotype" w:hAnsi="Calibri" w:cs="Calibri"/>
          <w:color w:val="000000"/>
          <w:sz w:val="24"/>
          <w:szCs w:val="24"/>
          <w:u w:color="000000"/>
          <w:bdr w:val="nil"/>
          <w:vertAlign w:val="superscript"/>
        </w:rPr>
        <w:footnoteReference w:id="30"/>
      </w:r>
      <w:r w:rsidRPr="00CB4950">
        <w:rPr>
          <w:rFonts w:ascii="Calibri" w:eastAsia="Palatino Linotype" w:hAnsi="Calibri" w:cs="Calibri"/>
          <w:color w:val="000000"/>
          <w:sz w:val="24"/>
          <w:szCs w:val="24"/>
          <w:u w:color="000000"/>
          <w:bdr w:val="nil"/>
        </w:rPr>
        <w:t xml:space="preserve"> </w:t>
      </w:r>
      <w:r w:rsidRPr="00CB4950">
        <w:rPr>
          <w:rFonts w:ascii="Calibri" w:eastAsia="Palatino Linotype" w:hAnsi="Calibri" w:cs="Calibri"/>
          <w:color w:val="000000"/>
          <w:sz w:val="24"/>
          <w:szCs w:val="24"/>
          <w:u w:color="000000"/>
          <w:bdr w:val="nil"/>
          <w:vertAlign w:val="superscript"/>
        </w:rPr>
        <w:footnoteReference w:id="31"/>
      </w:r>
      <w:r w:rsidRPr="00CB4950">
        <w:rPr>
          <w:rFonts w:ascii="Calibri" w:eastAsia="Palatino Linotype" w:hAnsi="Calibri" w:cs="Calibri"/>
          <w:color w:val="000000"/>
          <w:sz w:val="24"/>
          <w:szCs w:val="24"/>
          <w:u w:color="000000"/>
          <w:bdr w:val="nil"/>
        </w:rPr>
        <w:t xml:space="preserve"> </w:t>
      </w:r>
    </w:p>
    <w:p w14:paraId="5E7F6DEA"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Inflation Reduction Act of 2023 imposed methane-corrective measures on the oil/gas industry. These measures are focusing on incentives to prevent methane from being emitted but include penalties for methane pollution. These penalties are being eased in over a four-year </w:t>
      </w:r>
      <w:proofErr w:type="gramStart"/>
      <w:r w:rsidRPr="00CB4950">
        <w:rPr>
          <w:rFonts w:ascii="Calibri" w:eastAsia="Palatino Linotype" w:hAnsi="Calibri" w:cs="Calibri"/>
          <w:color w:val="000000"/>
          <w:sz w:val="24"/>
          <w:szCs w:val="24"/>
          <w:u w:color="000000"/>
          <w:bdr w:val="nil"/>
        </w:rPr>
        <w:t>period, and</w:t>
      </w:r>
      <w:proofErr w:type="gramEnd"/>
      <w:r w:rsidRPr="00CB4950">
        <w:rPr>
          <w:rFonts w:ascii="Calibri" w:eastAsia="Palatino Linotype" w:hAnsi="Calibri" w:cs="Calibri"/>
          <w:color w:val="000000"/>
          <w:sz w:val="24"/>
          <w:szCs w:val="24"/>
          <w:u w:color="000000"/>
          <w:bdr w:val="nil"/>
        </w:rPr>
        <w:t xml:space="preserve"> establish a rate for methane pollution: $1550 per metric ton in 2022 dollars.</w:t>
      </w:r>
      <w:r w:rsidRPr="00CB4950">
        <w:rPr>
          <w:rFonts w:ascii="Calibri" w:eastAsia="Palatino Linotype" w:hAnsi="Calibri" w:cs="Calibri"/>
          <w:color w:val="000000"/>
          <w:sz w:val="24"/>
          <w:szCs w:val="24"/>
          <w:u w:color="000000"/>
          <w:bdr w:val="nil"/>
          <w:vertAlign w:val="superscript"/>
        </w:rPr>
        <w:footnoteReference w:id="32"/>
      </w:r>
    </w:p>
    <w:p w14:paraId="59A89A66"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It’s possible that similar methane-corrective measures will be imposed upon the landfill industry, as a next development in the US 2021 Methane Emissions Reduction Plan. Such a development would be in accord with the stated goals of the US government, its commitments to climate action to the world, and goals and provisions already in place with the US 2021 Methane Emissions Reduction Plan.</w:t>
      </w:r>
    </w:p>
    <w:p w14:paraId="34382694"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In general, the effect of this carrot + stick scenario on Coffin Butte Landfill’s operating life may be to lengthen it. The incentives may attract recyclers and other entities to target the high organic sector of the landfill’s intake (about a quarter of total intake mass) for diversion away from the landfill, and the penalties may bring the landfill operator into alignment with this diversion (despite the concurrent reduction of profit). This change in </w:t>
      </w:r>
      <w:proofErr w:type="spellStart"/>
      <w:r w:rsidRPr="00CB4950">
        <w:rPr>
          <w:rFonts w:ascii="Calibri" w:eastAsia="Palatino Linotype" w:hAnsi="Calibri" w:cs="Calibri"/>
          <w:color w:val="000000"/>
          <w:sz w:val="24"/>
          <w:szCs w:val="24"/>
          <w:u w:color="000000"/>
          <w:bdr w:val="nil"/>
        </w:rPr>
        <w:t>wasteflow</w:t>
      </w:r>
      <w:proofErr w:type="spellEnd"/>
      <w:r w:rsidRPr="00CB4950">
        <w:rPr>
          <w:rFonts w:ascii="Calibri" w:eastAsia="Palatino Linotype" w:hAnsi="Calibri" w:cs="Calibri"/>
          <w:color w:val="000000"/>
          <w:sz w:val="24"/>
          <w:szCs w:val="24"/>
          <w:u w:color="000000"/>
          <w:bdr w:val="nil"/>
        </w:rPr>
        <w:t xml:space="preserve"> may create knock-on opportunities to create circular economies for other types of waste, motivated by environmental concerns, economic efficiencies, and other reasons. The likelihood of these eventualities </w:t>
      </w:r>
      <w:proofErr w:type="gramStart"/>
      <w:r w:rsidRPr="00CB4950">
        <w:rPr>
          <w:rFonts w:ascii="Calibri" w:eastAsia="Palatino Linotype" w:hAnsi="Calibri" w:cs="Calibri"/>
          <w:color w:val="000000"/>
          <w:sz w:val="24"/>
          <w:szCs w:val="24"/>
          <w:u w:color="000000"/>
          <w:bdr w:val="nil"/>
        </w:rPr>
        <w:t>depend</w:t>
      </w:r>
      <w:proofErr w:type="gramEnd"/>
      <w:r w:rsidRPr="00CB4950">
        <w:rPr>
          <w:rFonts w:ascii="Calibri" w:eastAsia="Palatino Linotype" w:hAnsi="Calibri" w:cs="Calibri"/>
          <w:color w:val="000000"/>
          <w:sz w:val="24"/>
          <w:szCs w:val="24"/>
          <w:u w:color="000000"/>
          <w:bdr w:val="nil"/>
        </w:rPr>
        <w:t xml:space="preserve"> upon the actual methane output of the landfill, which is currently undocumented.</w:t>
      </w:r>
    </w:p>
    <w:p w14:paraId="692CC857"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760EA3DE"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b/>
          <w:color w:val="000000"/>
          <w:sz w:val="24"/>
          <w:szCs w:val="24"/>
          <w:u w:color="000000"/>
          <w:bdr w:val="nil"/>
        </w:rPr>
      </w:pPr>
      <w:r w:rsidRPr="00CB4950">
        <w:rPr>
          <w:rFonts w:ascii="Calibri" w:eastAsia="Calibri" w:hAnsi="Calibri" w:cs="Calibri"/>
          <w:b/>
          <w:color w:val="000000"/>
          <w:sz w:val="24"/>
          <w:szCs w:val="24"/>
          <w:u w:color="000000"/>
          <w:bdr w:val="nil"/>
        </w:rPr>
        <w:t xml:space="preserve">Climate Crisis Legal and Shareholder Action </w:t>
      </w:r>
    </w:p>
    <w:p w14:paraId="2AB17BED"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As part of the climate crisis, environmentally engaged citizens and environmental organizations are suing governmental agencies (and investors are suing corporations) for failing to act on the climate crisis</w:t>
      </w:r>
      <w:r w:rsidRPr="00CB4950">
        <w:rPr>
          <w:rFonts w:ascii="Calibri" w:eastAsia="Palatino Linotype" w:hAnsi="Calibri" w:cs="Calibri"/>
          <w:color w:val="000000"/>
          <w:sz w:val="24"/>
          <w:szCs w:val="24"/>
          <w:u w:color="000000"/>
          <w:bdr w:val="nil"/>
          <w:vertAlign w:val="superscript"/>
        </w:rPr>
        <w:footnoteReference w:id="33"/>
      </w:r>
      <w:r w:rsidRPr="00CB4950">
        <w:rPr>
          <w:rFonts w:ascii="Calibri" w:eastAsia="Palatino Linotype" w:hAnsi="Calibri" w:cs="Calibri"/>
          <w:color w:val="000000"/>
          <w:sz w:val="24"/>
          <w:szCs w:val="24"/>
          <w:u w:color="000000"/>
          <w:bdr w:val="nil"/>
        </w:rPr>
        <w:t>. As with climate crisis legislation, these lawsuits may compel action to reduce emissions of greenhouse gases, which in turn may boost efforts to divert material, especially food and other high organic waste, from being landfilled at Coffin Butte Landfill. These lawsuits have the potential to occur across the landfill’s service area. As with climate crisis legislation, the effect would be to reduce waste inflow into the landfill and thus lengthen its operating life.</w:t>
      </w:r>
    </w:p>
    <w:p w14:paraId="75EC0BBC"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7B8B26ED" w14:textId="77777777" w:rsidR="006F646F" w:rsidRPr="00CB4950" w:rsidRDefault="006F646F" w:rsidP="006F646F">
      <w:pPr>
        <w:numPr>
          <w:ilvl w:val="0"/>
          <w:numId w:val="25"/>
        </w:numPr>
        <w:pBdr>
          <w:top w:val="nil"/>
          <w:left w:val="nil"/>
          <w:bottom w:val="nil"/>
          <w:right w:val="nil"/>
          <w:between w:val="nil"/>
          <w:bar w:val="nil"/>
        </w:pBdr>
        <w:spacing w:line="256" w:lineRule="auto"/>
        <w:rPr>
          <w:rFonts w:ascii="Calibri" w:eastAsia="Palatino Linotype" w:hAnsi="Calibri" w:cs="Calibri"/>
          <w:b/>
          <w:color w:val="000000"/>
          <w:sz w:val="24"/>
          <w:szCs w:val="24"/>
          <w:u w:color="000000"/>
          <w:bdr w:val="nil"/>
        </w:rPr>
      </w:pPr>
      <w:r w:rsidRPr="00CB4950">
        <w:rPr>
          <w:rFonts w:ascii="Calibri" w:eastAsia="Calibri" w:hAnsi="Calibri" w:cs="Calibri"/>
          <w:b/>
          <w:color w:val="000000"/>
          <w:sz w:val="24"/>
          <w:szCs w:val="24"/>
          <w:u w:color="000000"/>
          <w:bdr w:val="nil"/>
        </w:rPr>
        <w:t xml:space="preserve">Climate Crisis Environmental Activism </w:t>
      </w:r>
    </w:p>
    <w:p w14:paraId="24614736"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As part of the climate crisis, environmental activists accelerate their efforts, and act as an across-the- board accelerant and forcer for all the environmentally motivated changes being discussed in this Appendix.</w:t>
      </w:r>
    </w:p>
    <w:p w14:paraId="42F5B8DC" w14:textId="77777777" w:rsidR="006F646F"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color w:val="000000"/>
          <w:sz w:val="24"/>
          <w:szCs w:val="24"/>
          <w:u w:color="000000"/>
          <w:bdr w:val="nil"/>
        </w:rPr>
        <w:t xml:space="preserve">The effects of environmental activism on the operating life of Coffin Butte Landfill have been mixed. Environmental activism has already caused the single most impactful event on the operating life of Coffin Butte Landfill in its recent history: as described elsewhere in this report, activists were instrumental in stopping the expansion of the Riverbend Landfill in Yamhill County, which enabled Republic Services to increase trash intake at Coffin Butte Landfill by over 50% beginning in 2017. Other activism focused on pollution other than that at Coffin Butte Landfill may have similar effects that shorten the landfill’s operating life. Activism focused on trash reduction or on the landfill itself may extend the landfill’s </w:t>
      </w:r>
      <w:proofErr w:type="gramStart"/>
      <w:r w:rsidRPr="00CB4950">
        <w:rPr>
          <w:rFonts w:ascii="Calibri" w:eastAsia="Palatino Linotype" w:hAnsi="Calibri" w:cs="Calibri"/>
          <w:color w:val="000000"/>
          <w:sz w:val="24"/>
          <w:szCs w:val="24"/>
          <w:u w:color="000000"/>
          <w:bdr w:val="nil"/>
        </w:rPr>
        <w:t>life, if</w:t>
      </w:r>
      <w:proofErr w:type="gramEnd"/>
      <w:r w:rsidRPr="00CB4950">
        <w:rPr>
          <w:rFonts w:ascii="Calibri" w:eastAsia="Palatino Linotype" w:hAnsi="Calibri" w:cs="Calibri"/>
          <w:color w:val="000000"/>
          <w:sz w:val="24"/>
          <w:szCs w:val="24"/>
          <w:u w:color="000000"/>
          <w:bdr w:val="nil"/>
        </w:rPr>
        <w:t xml:space="preserve"> they act to reduce waste flows into the landfill.</w:t>
      </w:r>
    </w:p>
    <w:p w14:paraId="67C1AC62"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p>
    <w:p w14:paraId="0BFF0AFD"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r w:rsidRPr="00CB4950">
        <w:rPr>
          <w:rFonts w:ascii="Calibri" w:eastAsia="Palatino Linotype" w:hAnsi="Calibri" w:cs="Calibri"/>
          <w:b/>
          <w:bCs/>
          <w:color w:val="000000"/>
          <w:sz w:val="24"/>
          <w:szCs w:val="24"/>
          <w:u w:color="000000"/>
          <w:bdr w:val="nil"/>
        </w:rPr>
        <w:t xml:space="preserve">No </w:t>
      </w:r>
      <w:proofErr w:type="spellStart"/>
      <w:r w:rsidRPr="00CB4950">
        <w:rPr>
          <w:rFonts w:ascii="Calibri" w:eastAsia="Palatino Linotype" w:hAnsi="Calibri" w:cs="Calibri"/>
          <w:b/>
          <w:bCs/>
          <w:color w:val="000000"/>
          <w:sz w:val="24"/>
          <w:szCs w:val="24"/>
          <w:u w:color="000000"/>
          <w:bdr w:val="nil"/>
        </w:rPr>
        <w:t>Counterreasoning</w:t>
      </w:r>
      <w:proofErr w:type="spellEnd"/>
      <w:r w:rsidRPr="00CB4950">
        <w:rPr>
          <w:rFonts w:ascii="Calibri" w:eastAsia="Palatino Linotype" w:hAnsi="Calibri" w:cs="Calibri"/>
          <w:b/>
          <w:bCs/>
          <w:color w:val="000000"/>
          <w:sz w:val="24"/>
          <w:szCs w:val="24"/>
          <w:u w:color="000000"/>
          <w:bdr w:val="nil"/>
        </w:rPr>
        <w:t xml:space="preserve"> or Counterevidence Presented</w:t>
      </w:r>
    </w:p>
    <w:p w14:paraId="52554827" w14:textId="77777777" w:rsidR="006F646F" w:rsidRPr="00CB4950" w:rsidRDefault="006F646F" w:rsidP="006F646F">
      <w:pPr>
        <w:pBdr>
          <w:top w:val="nil"/>
          <w:left w:val="nil"/>
          <w:bottom w:val="nil"/>
          <w:right w:val="nil"/>
          <w:between w:val="nil"/>
          <w:bar w:val="nil"/>
        </w:pBdr>
        <w:spacing w:line="256" w:lineRule="auto"/>
        <w:rPr>
          <w:rFonts w:ascii="Calibri" w:eastAsia="Palatino Linotype" w:hAnsi="Calibri" w:cs="Calibri"/>
          <w:color w:val="000000"/>
          <w:sz w:val="24"/>
          <w:szCs w:val="24"/>
          <w:u w:color="000000"/>
          <w:bdr w:val="nil"/>
        </w:rPr>
      </w:pPr>
      <w:commentRangeStart w:id="295"/>
      <w:r w:rsidRPr="00CB4950">
        <w:rPr>
          <w:rFonts w:ascii="Calibri" w:eastAsia="Palatino Linotype" w:hAnsi="Calibri" w:cs="Calibri"/>
          <w:color w:val="000000"/>
          <w:sz w:val="24"/>
          <w:szCs w:val="24"/>
          <w:u w:color="000000"/>
          <w:bdr w:val="nil"/>
        </w:rPr>
        <w:t xml:space="preserve">No lines of reasoning or evidence </w:t>
      </w:r>
      <w:commentRangeEnd w:id="295"/>
      <w:r w:rsidRPr="00CB4950">
        <w:rPr>
          <w:rFonts w:eastAsia="Calibri" w:cs="Arial"/>
          <w:sz w:val="16"/>
          <w:szCs w:val="16"/>
        </w:rPr>
        <w:commentReference w:id="295"/>
      </w:r>
      <w:r w:rsidRPr="00CB4950">
        <w:rPr>
          <w:rFonts w:ascii="Calibri" w:eastAsia="Palatino Linotype" w:hAnsi="Calibri" w:cs="Calibri"/>
          <w:color w:val="000000"/>
          <w:sz w:val="24"/>
          <w:szCs w:val="24"/>
          <w:u w:color="000000"/>
          <w:bdr w:val="nil"/>
        </w:rPr>
        <w:t>were presented in subcommittee in answer to the lines of reasoning and evidence outlined in this Appendix. No arguments or evidence were brought forward to establish that Coffin Butte Landfill would not be subject to climate crisis-related advances in measuring technology, waste diversion technologies and policies, and legislation, legal and shareholder action, and activism, and that these developments would not have effects on the operating life of the Landfill.</w:t>
      </w:r>
    </w:p>
    <w:p w14:paraId="2CBDDB82" w14:textId="77777777" w:rsidR="006F646F" w:rsidRPr="00CB4950" w:rsidRDefault="006F646F" w:rsidP="006F646F">
      <w:pPr>
        <w:spacing w:after="240" w:line="240" w:lineRule="auto"/>
        <w:ind w:left="360" w:hanging="360"/>
        <w:contextualSpacing/>
        <w:rPr>
          <w:rFonts w:ascii="Calibri" w:eastAsia="Calibri" w:hAnsi="Calibri" w:cs="Calibri"/>
          <w:b/>
          <w:sz w:val="24"/>
          <w:szCs w:val="24"/>
        </w:rPr>
      </w:pPr>
    </w:p>
    <w:p w14:paraId="0A9ACDD1" w14:textId="77777777" w:rsidR="006F646F" w:rsidRPr="00CB4950" w:rsidRDefault="006F646F" w:rsidP="006F646F">
      <w:pPr>
        <w:spacing w:after="240" w:line="240" w:lineRule="auto"/>
        <w:ind w:left="360" w:hanging="360"/>
        <w:contextualSpacing/>
        <w:rPr>
          <w:rFonts w:ascii="Calibri" w:eastAsia="Calibri" w:hAnsi="Calibri" w:cs="Calibri"/>
          <w:b/>
          <w:sz w:val="24"/>
          <w:szCs w:val="24"/>
        </w:rPr>
      </w:pPr>
      <w:r w:rsidRPr="00CB4950">
        <w:rPr>
          <w:rFonts w:ascii="Calibri" w:eastAsia="Calibri" w:hAnsi="Calibri" w:cs="Calibri"/>
          <w:b/>
          <w:bCs/>
          <w:sz w:val="24"/>
          <w:szCs w:val="24"/>
        </w:rPr>
        <w:t>Conclusion</w:t>
      </w:r>
    </w:p>
    <w:p w14:paraId="6FD67841"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 xml:space="preserve">In recent years society and its structures have begun to </w:t>
      </w:r>
      <w:proofErr w:type="gramStart"/>
      <w:r w:rsidRPr="00CB4950">
        <w:rPr>
          <w:rFonts w:ascii="Calibri" w:eastAsia="Calibri" w:hAnsi="Calibri" w:cs="Calibri"/>
          <w:sz w:val="24"/>
          <w:szCs w:val="24"/>
        </w:rPr>
        <w:t>take action</w:t>
      </w:r>
      <w:proofErr w:type="gramEnd"/>
      <w:r w:rsidRPr="00CB4950">
        <w:rPr>
          <w:rFonts w:ascii="Calibri" w:eastAsia="Calibri" w:hAnsi="Calibri" w:cs="Calibri"/>
          <w:sz w:val="24"/>
          <w:szCs w:val="24"/>
        </w:rPr>
        <w:t xml:space="preserve"> on the climate crisis, due to the threat that greenhouse gases pose to natural and social systems. Responses to the climate crisis focus mainly on curtailing the release of greenhouse gases, but also include mitigating or adapting to the emerging effects of climate change. Efforts to curtail the release of greenhouse gases pay special attention to methane, because this pollutant has fast-acting effects. Landfills such as Coffin Butte are known to be major emitters of methane, and some recent studies indicate that US landfills release significantly more methane than had been previously characterized by EPA estimates. The methane emission level of Coffin Butte Landfill has not been well-characterized. </w:t>
      </w:r>
      <w:commentRangeStart w:id="296"/>
      <w:r w:rsidRPr="00CB4950">
        <w:rPr>
          <w:rFonts w:ascii="Calibri" w:eastAsia="Calibri" w:hAnsi="Calibri" w:cs="Calibri"/>
          <w:sz w:val="24"/>
          <w:szCs w:val="24"/>
        </w:rPr>
        <w:t xml:space="preserve">DEQ estimates emissions </w:t>
      </w:r>
      <w:commentRangeEnd w:id="296"/>
      <w:r w:rsidRPr="00CB4950">
        <w:rPr>
          <w:rFonts w:eastAsia="Calibri" w:cs="Arial"/>
          <w:sz w:val="16"/>
          <w:szCs w:val="16"/>
        </w:rPr>
        <w:commentReference w:id="296"/>
      </w:r>
      <w:r w:rsidRPr="00CB4950">
        <w:rPr>
          <w:rFonts w:ascii="Calibri" w:eastAsia="Calibri" w:hAnsi="Calibri" w:cs="Calibri"/>
          <w:sz w:val="24"/>
          <w:szCs w:val="24"/>
        </w:rPr>
        <w:t>from disposal of waste to be &lt;1%-2.6% of total emissions.</w:t>
      </w:r>
    </w:p>
    <w:p w14:paraId="11D051B3"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New technologies that measure methane emissions directly (rather than estimate them using mathematical modeling) have been developed and are being deployed worldwide, on satellites, aircraft, and overlook towers. The operating environment of Coffin Butte Landfill is</w:t>
      </w:r>
      <w:commentRangeStart w:id="297"/>
      <w:r w:rsidRPr="00CB4950">
        <w:rPr>
          <w:rFonts w:ascii="Calibri" w:eastAsia="Calibri" w:hAnsi="Calibri" w:cs="Calibri"/>
          <w:sz w:val="24"/>
          <w:szCs w:val="24"/>
        </w:rPr>
        <w:t xml:space="preserve"> </w:t>
      </w:r>
      <w:r w:rsidRPr="00CB4950">
        <w:rPr>
          <w:rFonts w:ascii="Calibri" w:eastAsia="Calibri" w:hAnsi="Calibri" w:cs="Calibri"/>
          <w:sz w:val="24"/>
          <w:szCs w:val="24"/>
          <w:highlight w:val="yellow"/>
        </w:rPr>
        <w:t>likely</w:t>
      </w:r>
      <w:r w:rsidRPr="00CB4950">
        <w:rPr>
          <w:rFonts w:ascii="Calibri" w:eastAsia="Calibri" w:hAnsi="Calibri" w:cs="Calibri"/>
          <w:sz w:val="24"/>
          <w:szCs w:val="24"/>
        </w:rPr>
        <w:t xml:space="preserve"> </w:t>
      </w:r>
      <w:commentRangeEnd w:id="297"/>
      <w:r w:rsidRPr="00CB4950">
        <w:rPr>
          <w:rFonts w:eastAsia="Calibri" w:cs="Arial"/>
          <w:sz w:val="16"/>
          <w:szCs w:val="16"/>
        </w:rPr>
        <w:commentReference w:id="297"/>
      </w:r>
      <w:r w:rsidRPr="00CB4950">
        <w:rPr>
          <w:rFonts w:ascii="Calibri" w:eastAsia="Calibri" w:hAnsi="Calibri" w:cs="Calibri"/>
          <w:sz w:val="24"/>
          <w:szCs w:val="24"/>
        </w:rPr>
        <w:t xml:space="preserve">to change as its greenhouse gas emissions become well-characterized, subjecting the landfill to competitive pressure, regulatory fines, shifts in corporate strategy, public action, and other effects. Coffin Butte Landfill’s wet environment is known to convert waste to methane </w:t>
      </w:r>
      <w:commentRangeStart w:id="298"/>
      <w:r w:rsidRPr="00CB4950">
        <w:rPr>
          <w:rFonts w:ascii="Calibri" w:eastAsia="Calibri" w:hAnsi="Calibri" w:cs="Calibri"/>
          <w:sz w:val="24"/>
          <w:szCs w:val="24"/>
          <w:highlight w:val="yellow"/>
        </w:rPr>
        <w:t>quickly</w:t>
      </w:r>
      <w:commentRangeEnd w:id="298"/>
      <w:r w:rsidRPr="00CB4950">
        <w:rPr>
          <w:rFonts w:eastAsia="Calibri" w:cs="Arial"/>
          <w:sz w:val="16"/>
          <w:szCs w:val="16"/>
        </w:rPr>
        <w:commentReference w:id="298"/>
      </w:r>
      <w:r w:rsidRPr="00CB4950">
        <w:rPr>
          <w:rFonts w:ascii="Calibri" w:eastAsia="Calibri" w:hAnsi="Calibri" w:cs="Calibri"/>
          <w:sz w:val="24"/>
          <w:szCs w:val="24"/>
        </w:rPr>
        <w:t>, so these changes may decrease waste inflows and thus lengthen the operating life of the landfill.</w:t>
      </w:r>
    </w:p>
    <w:p w14:paraId="7FDAEBB5"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 xml:space="preserve">The most effective way to curtail a landfill’s greenhouse gas emissions is to divert organic material from being landfilled. Landfill gas collection systems lessen the greenhouse gas impact but do not remediate it, because they do not collect </w:t>
      </w:r>
      <w:proofErr w:type="gramStart"/>
      <w:r w:rsidRPr="00CB4950">
        <w:rPr>
          <w:rFonts w:ascii="Calibri" w:eastAsia="Calibri" w:hAnsi="Calibri" w:cs="Calibri"/>
          <w:sz w:val="24"/>
          <w:szCs w:val="24"/>
        </w:rPr>
        <w:t>all of</w:t>
      </w:r>
      <w:proofErr w:type="gramEnd"/>
      <w:r w:rsidRPr="00CB4950">
        <w:rPr>
          <w:rFonts w:ascii="Calibri" w:eastAsia="Calibri" w:hAnsi="Calibri" w:cs="Calibri"/>
          <w:sz w:val="24"/>
          <w:szCs w:val="24"/>
        </w:rPr>
        <w:t xml:space="preserve"> the methane generated by a landfill; they do not completely combust the methane that is collected; they generate carbon dioxide, a greenhouse gas, when they combust methane; and half of landfill gas is carbon dioxide, which gas collection systems release into the atmosphere. In 2019 the EPA estimated that Coffin Butte Landfill’s gas collection system operates at 57% efficiency.</w:t>
      </w:r>
    </w:p>
    <w:p w14:paraId="0C917AFD" w14:textId="77777777" w:rsidR="006F646F" w:rsidRPr="00CB4950" w:rsidRDefault="006F646F" w:rsidP="006F646F">
      <w:pPr>
        <w:rPr>
          <w:rFonts w:ascii="Calibri" w:eastAsia="Calibri" w:hAnsi="Calibri" w:cs="Calibri"/>
          <w:sz w:val="24"/>
          <w:szCs w:val="24"/>
        </w:rPr>
      </w:pPr>
      <w:r w:rsidRPr="00CB4950">
        <w:rPr>
          <w:rFonts w:ascii="Calibri" w:eastAsia="Calibri" w:hAnsi="Calibri" w:cs="Calibri"/>
          <w:sz w:val="24"/>
          <w:szCs w:val="24"/>
        </w:rPr>
        <w:t xml:space="preserve">The impetus to curtail methane emissions is focusing attention on ways to divert organic waste from landfill </w:t>
      </w:r>
      <w:proofErr w:type="spellStart"/>
      <w:r w:rsidRPr="00CB4950">
        <w:rPr>
          <w:rFonts w:ascii="Calibri" w:eastAsia="Calibri" w:hAnsi="Calibri" w:cs="Calibri"/>
          <w:sz w:val="24"/>
          <w:szCs w:val="24"/>
        </w:rPr>
        <w:t>wastestreams</w:t>
      </w:r>
      <w:proofErr w:type="spellEnd"/>
      <w:r w:rsidRPr="00CB4950">
        <w:rPr>
          <w:rFonts w:ascii="Calibri" w:eastAsia="Calibri" w:hAnsi="Calibri" w:cs="Calibri"/>
          <w:sz w:val="24"/>
          <w:szCs w:val="24"/>
        </w:rPr>
        <w:t xml:space="preserve">. In the US, the Food Donation Improvement Act enables existing food donation organizations to expand operations </w:t>
      </w:r>
      <w:proofErr w:type="gramStart"/>
      <w:r w:rsidRPr="00CB4950">
        <w:rPr>
          <w:rFonts w:ascii="Calibri" w:eastAsia="Calibri" w:hAnsi="Calibri" w:cs="Calibri"/>
          <w:sz w:val="24"/>
          <w:szCs w:val="24"/>
        </w:rPr>
        <w:t>dramatically, and</w:t>
      </w:r>
      <w:proofErr w:type="gramEnd"/>
      <w:r w:rsidRPr="00CB4950">
        <w:rPr>
          <w:rFonts w:ascii="Calibri" w:eastAsia="Calibri" w:hAnsi="Calibri" w:cs="Calibri"/>
          <w:sz w:val="24"/>
          <w:szCs w:val="24"/>
        </w:rPr>
        <w:t xml:space="preserve"> incentivizes the creation of new methods and innovations in preventing food waste. The 2021 Methane Emissions Reduction Plan catalyzes and incentivizes ways to identify and cost-effectively reduce methane emissions from all major sources. The 2023 Inflation Reduction Act of 2023 focuses on incentives to prevent methane from being </w:t>
      </w:r>
      <w:proofErr w:type="gramStart"/>
      <w:r w:rsidRPr="00CB4950">
        <w:rPr>
          <w:rFonts w:ascii="Calibri" w:eastAsia="Calibri" w:hAnsi="Calibri" w:cs="Calibri"/>
          <w:sz w:val="24"/>
          <w:szCs w:val="24"/>
        </w:rPr>
        <w:t>emitted, but</w:t>
      </w:r>
      <w:proofErr w:type="gramEnd"/>
      <w:r w:rsidRPr="00CB4950">
        <w:rPr>
          <w:rFonts w:ascii="Calibri" w:eastAsia="Calibri" w:hAnsi="Calibri" w:cs="Calibri"/>
          <w:sz w:val="24"/>
          <w:szCs w:val="24"/>
        </w:rPr>
        <w:t xml:space="preserve"> included the rollout of penalties for methane pollution in the oil/gas industry, which could extend in time to the waste industry in some form. These emerging legislative drivers go hand in hand with emerging litigation, shareholder action, and activism over environmental protection, all of which have the potential to affect</w:t>
      </w:r>
      <w:commentRangeStart w:id="299"/>
      <w:r w:rsidRPr="00CB4950">
        <w:rPr>
          <w:rFonts w:ascii="Calibri" w:eastAsia="Calibri" w:hAnsi="Calibri" w:cs="Calibri"/>
          <w:sz w:val="24"/>
          <w:szCs w:val="24"/>
        </w:rPr>
        <w:t xml:space="preserve"> significantly </w:t>
      </w:r>
      <w:commentRangeEnd w:id="299"/>
      <w:r w:rsidRPr="00CB4950">
        <w:rPr>
          <w:rFonts w:eastAsia="Calibri" w:cs="Arial"/>
          <w:sz w:val="16"/>
          <w:szCs w:val="16"/>
        </w:rPr>
        <w:commentReference w:id="299"/>
      </w:r>
      <w:r w:rsidRPr="00CB4950">
        <w:rPr>
          <w:rFonts w:ascii="Calibri" w:eastAsia="Calibri" w:hAnsi="Calibri" w:cs="Calibri"/>
          <w:sz w:val="24"/>
          <w:szCs w:val="24"/>
        </w:rPr>
        <w:t>how landfilling will be done in the future.</w:t>
      </w:r>
    </w:p>
    <w:p w14:paraId="4427F5AE" w14:textId="77777777" w:rsidR="006F646F" w:rsidRPr="00CB4950" w:rsidRDefault="006F646F" w:rsidP="006F646F">
      <w:r w:rsidRPr="00CB4950">
        <w:rPr>
          <w:rFonts w:ascii="Calibri" w:eastAsia="Calibri" w:hAnsi="Calibri" w:cs="Calibri"/>
          <w:sz w:val="24"/>
          <w:szCs w:val="24"/>
        </w:rPr>
        <w:t xml:space="preserve">The baseline scenarios laid out elsewhere in this report assume that landfilling will continue as normal for the next 16 years. That expectation should be tempered by the signals that environmental considerations, especially those related to the climate crisis, are emerging as a </w:t>
      </w:r>
      <w:commentRangeStart w:id="300"/>
      <w:r w:rsidRPr="00CB4950">
        <w:rPr>
          <w:rFonts w:ascii="Calibri" w:eastAsia="Calibri" w:hAnsi="Calibri" w:cs="Calibri"/>
          <w:sz w:val="24"/>
          <w:szCs w:val="24"/>
          <w:highlight w:val="yellow"/>
        </w:rPr>
        <w:t xml:space="preserve">major </w:t>
      </w:r>
      <w:commentRangeEnd w:id="300"/>
      <w:r w:rsidRPr="00CB4950">
        <w:rPr>
          <w:rFonts w:eastAsia="Calibri" w:cs="Arial"/>
          <w:sz w:val="16"/>
          <w:szCs w:val="16"/>
        </w:rPr>
        <w:commentReference w:id="300"/>
      </w:r>
      <w:r w:rsidRPr="00CB4950">
        <w:rPr>
          <w:rFonts w:ascii="Calibri" w:eastAsia="Calibri" w:hAnsi="Calibri" w:cs="Calibri"/>
          <w:sz w:val="24"/>
          <w:szCs w:val="24"/>
          <w:highlight w:val="yellow"/>
        </w:rPr>
        <w:t>factor</w:t>
      </w:r>
      <w:r w:rsidRPr="00CB4950">
        <w:rPr>
          <w:rFonts w:ascii="Calibri" w:eastAsia="Calibri" w:hAnsi="Calibri" w:cs="Calibri"/>
          <w:sz w:val="24"/>
          <w:szCs w:val="24"/>
        </w:rPr>
        <w:t xml:space="preserve"> that will reshape the social and legal landscape that Coffin Butte Landfill is in. This reshaping is something that Benton County can participate in, on behalf of its citizens. This is something the County should be aware of and prepare for, in current actions and in concert with its Sustainable Materials Management Plan, as the reshaping includes significant opportunities for the County and affiliated organizations to bring their waste management more in line with the County’s stated goals and values.</w:t>
      </w:r>
    </w:p>
    <w:p w14:paraId="4C08EFC6" w14:textId="77777777" w:rsidR="006F646F" w:rsidRPr="00361B98" w:rsidRDefault="006F646F" w:rsidP="006F646F"/>
    <w:p w14:paraId="7E2A6394" w14:textId="77777777" w:rsidR="006310FC" w:rsidRDefault="00415FF3"/>
    <w:sectPr w:rsidR="006310FC">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SCHERMER Maren" w:date="2023-03-02T16:33:00Z" w:initials="SM">
    <w:p w14:paraId="6EED726D" w14:textId="77777777" w:rsidR="006F646F" w:rsidRDefault="006F646F" w:rsidP="006F646F">
      <w:pPr>
        <w:pStyle w:val="CommentText"/>
      </w:pPr>
      <w:r>
        <w:rPr>
          <w:rStyle w:val="CommentReference"/>
        </w:rPr>
        <w:annotationRef/>
      </w:r>
      <w:r>
        <w:t>Suggestion from Ken to add a table of contents.</w:t>
      </w:r>
    </w:p>
  </w:comment>
  <w:comment w:id="13" w:author="REDICK Daniel" w:date="2023-02-07T09:06:00Z" w:initials="RD">
    <w:p w14:paraId="264BAF0E" w14:textId="77777777" w:rsidR="006F646F" w:rsidRDefault="006F646F" w:rsidP="006F646F">
      <w:pPr>
        <w:pStyle w:val="CommentText"/>
      </w:pPr>
      <w:r>
        <w:rPr>
          <w:rStyle w:val="CommentReference"/>
        </w:rPr>
        <w:annotationRef/>
      </w:r>
      <w:r>
        <w:t>Addition from Paul</w:t>
      </w:r>
    </w:p>
  </w:comment>
  <w:comment w:id="14" w:author="REDICK Daniel" w:date="2023-01-03T10:53:00Z" w:initials="RD">
    <w:p w14:paraId="408785A0" w14:textId="77777777" w:rsidR="006F646F" w:rsidRDefault="006F646F" w:rsidP="006F646F">
      <w:pPr>
        <w:pStyle w:val="CommentText"/>
      </w:pPr>
      <w:r>
        <w:rPr>
          <w:rStyle w:val="CommentReference"/>
        </w:rPr>
        <w:annotationRef/>
      </w:r>
      <w:r>
        <w:t>Does this qualify to cells 1 and 1a? Or cells that are unlined?</w:t>
      </w:r>
    </w:p>
  </w:comment>
  <w:comment w:id="15" w:author="REDICK Daniel" w:date="2023-02-14T16:17:00Z" w:initials="RD">
    <w:p w14:paraId="61D60564" w14:textId="77777777" w:rsidR="006F646F" w:rsidRDefault="006F646F" w:rsidP="006F646F">
      <w:pPr>
        <w:pStyle w:val="CommentText"/>
      </w:pPr>
      <w:r>
        <w:rPr>
          <w:rStyle w:val="CommentReference"/>
        </w:rPr>
        <w:annotationRef/>
      </w:r>
      <w:r>
        <w:t>Moved from Section 3</w:t>
      </w:r>
    </w:p>
  </w:comment>
  <w:comment w:id="16" w:author="REDICK Daniel" w:date="2023-03-02T09:41:00Z" w:initials="RD">
    <w:p w14:paraId="6A99C06A" w14:textId="77777777" w:rsidR="006F646F" w:rsidRDefault="006F646F" w:rsidP="006F646F">
      <w:pPr>
        <w:pStyle w:val="CommentText"/>
      </w:pPr>
      <w:r>
        <w:rPr>
          <w:rStyle w:val="CommentReference"/>
        </w:rPr>
        <w:annotationRef/>
      </w:r>
      <w:r>
        <w:t>Added by Chuck - 2.22.23</w:t>
      </w:r>
    </w:p>
  </w:comment>
  <w:comment w:id="17" w:author="REDICK Daniel" w:date="2023-02-02T13:30:00Z" w:initials="RD">
    <w:p w14:paraId="2777A2B6" w14:textId="77777777" w:rsidR="006F646F" w:rsidRDefault="006F646F" w:rsidP="006F646F">
      <w:pPr>
        <w:pStyle w:val="CommentText"/>
      </w:pPr>
      <w:r>
        <w:rPr>
          <w:rStyle w:val="CommentReference"/>
        </w:rPr>
        <w:annotationRef/>
      </w:r>
      <w:r>
        <w:t>Addition from Ken Eklund</w:t>
      </w:r>
    </w:p>
  </w:comment>
  <w:comment w:id="18" w:author="REDICK Daniel" w:date="2023-02-17T08:43:00Z" w:initials="RD">
    <w:p w14:paraId="33A9F1CA" w14:textId="77777777" w:rsidR="006F646F" w:rsidRDefault="006F646F" w:rsidP="006F646F">
      <w:pPr>
        <w:pStyle w:val="CommentText"/>
      </w:pPr>
      <w:r>
        <w:rPr>
          <w:rStyle w:val="CommentReference"/>
        </w:rPr>
        <w:annotationRef/>
      </w:r>
      <w:r>
        <w:t>From Ginger: Maybe insert near the top that Republic Services has been the owner/operator of Coffin Butte Landfill since 2008 (where we are talking about inconsistency of records prior to that point.)</w:t>
      </w:r>
    </w:p>
  </w:comment>
  <w:comment w:id="19" w:author="Ian Macnab" w:date="2023-03-10T10:14:00Z" w:initials="MI">
    <w:p w14:paraId="3D375F49" w14:textId="77777777" w:rsidR="006F646F" w:rsidRDefault="006F646F" w:rsidP="006F646F">
      <w:pPr>
        <w:pStyle w:val="CommentText"/>
      </w:pPr>
      <w:r>
        <w:rPr>
          <w:rStyle w:val="CommentReference"/>
        </w:rPr>
        <w:annotationRef/>
      </w:r>
      <w:r>
        <w:t>I don’t think this is necessary.  Landfill threshold isn’t a term commonly if ever used and the concepts covered in this section are also cover in the airspace definition above.</w:t>
      </w:r>
    </w:p>
  </w:comment>
  <w:comment w:id="20" w:author="Paul Nietfeld" w:date="2023-02-06T09:49:00Z" w:initials="PN">
    <w:p w14:paraId="104F3F80" w14:textId="77777777" w:rsidR="006F646F" w:rsidRPr="00480A96" w:rsidRDefault="006F646F" w:rsidP="006F646F">
      <w:pPr>
        <w:pStyle w:val="CommentText"/>
        <w:rPr>
          <w:rFonts w:ascii="Calibri" w:hAnsi="Calibri"/>
        </w:rPr>
      </w:pPr>
      <w:r>
        <w:rPr>
          <w:rStyle w:val="CommentReference"/>
        </w:rPr>
        <w:annotationRef/>
      </w:r>
      <w:r>
        <w:t>Daniel: can you confirm this tax lot is the parcel defined in Exhibit C of the 2020 Franchise Agreement?</w:t>
      </w:r>
    </w:p>
  </w:comment>
  <w:comment w:id="21" w:author="REDICK Daniel" w:date="2023-02-07T09:31:00Z" w:initials="RD">
    <w:p w14:paraId="4B43CC05" w14:textId="77777777" w:rsidR="006F646F" w:rsidRDefault="006F646F" w:rsidP="006F646F">
      <w:pPr>
        <w:pStyle w:val="CommentText"/>
      </w:pPr>
      <w:r>
        <w:rPr>
          <w:rStyle w:val="CommentReference"/>
        </w:rPr>
        <w:annotationRef/>
      </w:r>
      <w:r>
        <w:t>Yes, that is the correct tax lot number for the parcel described in Exhibit C of the 2020 Franchise Agreement.</w:t>
      </w:r>
    </w:p>
  </w:comment>
  <w:comment w:id="22" w:author="REDICK Daniel" w:date="2023-02-21T09:42:00Z" w:initials="RD">
    <w:p w14:paraId="02F6B057" w14:textId="77777777" w:rsidR="006F646F" w:rsidRDefault="006F646F" w:rsidP="006F646F">
      <w:pPr>
        <w:pStyle w:val="CommentText"/>
      </w:pPr>
      <w:r>
        <w:rPr>
          <w:rStyle w:val="CommentReference"/>
        </w:rPr>
        <w:annotationRef/>
      </w:r>
      <w:r>
        <w:t>Following 6 paragraphs from Chuck</w:t>
      </w:r>
    </w:p>
  </w:comment>
  <w:comment w:id="23" w:author="REDICK Daniel" w:date="2023-02-22T11:37:00Z" w:initials="RD">
    <w:p w14:paraId="4CD7A8E3" w14:textId="77777777" w:rsidR="006F646F" w:rsidRDefault="006F646F" w:rsidP="006F646F">
      <w:pPr>
        <w:pStyle w:val="CommentText"/>
      </w:pPr>
      <w:r>
        <w:rPr>
          <w:rStyle w:val="CommentReference"/>
        </w:rPr>
        <w:annotationRef/>
      </w:r>
      <w:r>
        <w:t>Add to body of the report</w:t>
      </w:r>
    </w:p>
  </w:comment>
  <w:comment w:id="24" w:author="Rough, Ginger" w:date="2023-03-09T14:13:00Z" w:initials="RG">
    <w:p w14:paraId="0876D78D" w14:textId="77777777" w:rsidR="006F646F" w:rsidRDefault="006F646F" w:rsidP="006F646F">
      <w:pPr>
        <w:pStyle w:val="CommentText"/>
      </w:pPr>
      <w:r>
        <w:rPr>
          <w:rStyle w:val="CommentReference"/>
        </w:rPr>
        <w:annotationRef/>
      </w:r>
      <w:r>
        <w:t>I don’t have a problem with these definitions per se, but I don’t think they add to the report in this location. I would recommend “Further definitions, See Appendix xxx.”….trying to avoid the reader getting bogged down prior to findings and recommendations.</w:t>
      </w:r>
    </w:p>
  </w:comment>
  <w:comment w:id="25" w:author="REDICK Daniel" w:date="2023-03-02T09:39:00Z" w:initials="RD">
    <w:p w14:paraId="5237E07D" w14:textId="77777777" w:rsidR="006F646F" w:rsidRDefault="006F646F" w:rsidP="006F646F">
      <w:pPr>
        <w:pStyle w:val="CommentText"/>
      </w:pPr>
      <w:r>
        <w:rPr>
          <w:rStyle w:val="CommentReference"/>
        </w:rPr>
        <w:annotationRef/>
      </w:r>
      <w:r>
        <w:t>The following 8 questions/answers added by Chuck 2/22/23</w:t>
      </w:r>
    </w:p>
  </w:comment>
  <w:comment w:id="28" w:author="Rough, Ginger" w:date="2023-03-09T14:14:00Z" w:initials="RG">
    <w:p w14:paraId="44ABF1F4" w14:textId="77777777" w:rsidR="006F646F" w:rsidRDefault="006F646F" w:rsidP="006F646F">
      <w:pPr>
        <w:pStyle w:val="CommentText"/>
      </w:pPr>
      <w:r>
        <w:rPr>
          <w:rStyle w:val="CommentReference"/>
        </w:rPr>
        <w:annotationRef/>
      </w:r>
      <w:r>
        <w:t>Do we need to note that Paul resigned from the subcommittee?</w:t>
      </w:r>
    </w:p>
  </w:comment>
  <w:comment w:id="33" w:author="REDICK Daniel" w:date="2023-02-24T09:55:00Z" w:initials="RD">
    <w:p w14:paraId="7B8E28EE" w14:textId="77777777" w:rsidR="006F646F" w:rsidRDefault="006F646F" w:rsidP="006F646F">
      <w:pPr>
        <w:pStyle w:val="CommentText"/>
      </w:pPr>
      <w:r>
        <w:rPr>
          <w:rStyle w:val="CommentReference"/>
        </w:rPr>
        <w:annotationRef/>
      </w:r>
      <w:r>
        <w:t xml:space="preserve">Notes from 2/23 WG Meeting: </w:t>
      </w:r>
    </w:p>
    <w:p w14:paraId="17C53CEE" w14:textId="77777777" w:rsidR="006F646F" w:rsidRDefault="006F646F" w:rsidP="006F646F">
      <w:pPr>
        <w:pStyle w:val="CommentText"/>
      </w:pPr>
    </w:p>
    <w:p w14:paraId="04BF43B7" w14:textId="77777777" w:rsidR="006F646F" w:rsidRDefault="006F646F" w:rsidP="006F646F">
      <w:pPr>
        <w:pStyle w:val="CommentText"/>
      </w:pPr>
      <w:r>
        <w:t>- Include details on preemptively addressing mitigations of unique wastes/disaster wastes. Inlcude information on profiling of waste materials, and the differences between hazardous vs. special waste, including hazardous substances that may be permitted wastes.</w:t>
      </w:r>
    </w:p>
  </w:comment>
  <w:comment w:id="34" w:author="Yeager, Mark" w:date="2023-02-03T11:32:00Z" w:initials="YM">
    <w:p w14:paraId="3895815F" w14:textId="77777777" w:rsidR="006F646F" w:rsidRDefault="006F646F" w:rsidP="006F646F">
      <w:pPr>
        <w:pStyle w:val="CommentText"/>
      </w:pPr>
      <w:r>
        <w:rPr>
          <w:rStyle w:val="CommentReference"/>
        </w:rPr>
        <w:annotationRef/>
      </w:r>
      <w:r>
        <w:t>Not sure how the order of these findings was determined, but my view is that they should be reorganized and prioritized with most important findings at the beginning. For example, the remaining life finding is now buried near the bottom of this list - that should be moved up</w:t>
      </w:r>
    </w:p>
  </w:comment>
  <w:comment w:id="35" w:author="REDICK Daniel" w:date="2023-02-07T09:34:00Z" w:initials="RD">
    <w:p w14:paraId="5A90F4B3" w14:textId="77777777" w:rsidR="006F646F" w:rsidRDefault="006F646F" w:rsidP="006F646F">
      <w:pPr>
        <w:pStyle w:val="CommentText"/>
      </w:pPr>
      <w:r>
        <w:rPr>
          <w:rStyle w:val="CommentReference"/>
        </w:rPr>
        <w:annotationRef/>
      </w:r>
      <w:r>
        <w:t>Categories and organization of findings from Paul</w:t>
      </w:r>
    </w:p>
  </w:comment>
  <w:comment w:id="36" w:author="Paul Nietfeld" w:date="2023-02-21T08:15:00Z" w:initials="PN">
    <w:p w14:paraId="0608530B" w14:textId="77777777" w:rsidR="006F646F" w:rsidRDefault="006F646F" w:rsidP="006F646F">
      <w:pPr>
        <w:pStyle w:val="CommentText"/>
      </w:pPr>
      <w:r>
        <w:rPr>
          <w:rStyle w:val="CommentReference"/>
        </w:rPr>
        <w:annotationRef/>
      </w:r>
      <w:r>
        <w:t>Modified historical reference to avoid claim that EPA records are not relevant to landfill life.</w:t>
      </w:r>
    </w:p>
  </w:comment>
  <w:comment w:id="37" w:author="Rough, Ginger" w:date="2023-03-09T14:32:00Z" w:initials="RG">
    <w:p w14:paraId="08668293" w14:textId="77777777" w:rsidR="006F646F" w:rsidRDefault="006F646F" w:rsidP="006F646F">
      <w:pPr>
        <w:pStyle w:val="CommentText"/>
      </w:pPr>
      <w:r>
        <w:rPr>
          <w:rStyle w:val="CommentReference"/>
        </w:rPr>
        <w:annotationRef/>
      </w:r>
      <w:r>
        <w:t>I would combine 1 and 2 for clarity and reword this way: “The Landfill’s remaining life has been historically overestimated. In 2003, CUP planning documents indicated a projected closure date of 2074. Ten years later, in 2013, the landfill’s end of life date was projected to be 2053-2062. Today the closure date is estimated to occur between 2037-2039, meaning site life is now between 14 and 16 years.”</w:t>
      </w:r>
    </w:p>
  </w:comment>
  <w:comment w:id="38" w:author="Rough, Ginger" w:date="2023-03-09T14:39:00Z" w:initials="RG">
    <w:p w14:paraId="5FABF002" w14:textId="77777777" w:rsidR="006F646F" w:rsidRDefault="006F646F" w:rsidP="006F646F">
      <w:pPr>
        <w:pStyle w:val="CommentText"/>
      </w:pPr>
      <w:r>
        <w:rPr>
          <w:rStyle w:val="CommentReference"/>
        </w:rPr>
        <w:annotationRef/>
      </w:r>
      <w:r>
        <w:t>I’ll leave it to the group to decide whether its necessary to keep this sentence from Finding 1: “</w:t>
      </w:r>
      <w:r>
        <w:rPr>
          <w:rFonts w:ascii="Calibri" w:eastAsia="Calibri" w:hAnsi="Calibri" w:cs="Calibri"/>
          <w:sz w:val="24"/>
          <w:szCs w:val="24"/>
        </w:rPr>
        <w:t>In 2013 Valley Landfills Inc. reevaluated an area of Landfill Site zoned property in the northeast corner of the site for waste placement stability engineering.  This area was removed from the landfill’s site development plan based on updated state seismic guidance for landfill stability.”</w:t>
      </w:r>
    </w:p>
  </w:comment>
  <w:comment w:id="39" w:author="REDICK Daniel" w:date="2023-03-10T15:38:00Z" w:initials="RD">
    <w:p w14:paraId="622355D1" w14:textId="77777777" w:rsidR="006F646F" w:rsidRDefault="006F646F" w:rsidP="006F646F">
      <w:pPr>
        <w:pStyle w:val="CommentText"/>
      </w:pPr>
      <w:r>
        <w:rPr>
          <w:rStyle w:val="CommentReference"/>
        </w:rPr>
        <w:annotationRef/>
      </w:r>
      <w:r>
        <w:t>From Ginger: I propose the following simplification to this finding: “The current closure date of 2037-2039 is based on an annual intake level of between 1 million and 1.1. million tons per year. It also presumes the quarry area will be fully excavated and permitted to accept waste by the time the current disposal area is full. Representatives for Republic Services say this “baseline” projection is derived from an industry-accepted modeling process that looks at remaining permitted airspace, tonnage, and volume density. The tonnage estimates in the baseline end-of-life projection is based upon both existing demand and Valley Landfill Inc.’s efforts to maintain and/or grow it business in the existing Service Area.</w:t>
      </w:r>
    </w:p>
  </w:comment>
  <w:comment w:id="40" w:author="REDICK Daniel" w:date="2023-02-03T15:35:00Z" w:initials="RD">
    <w:p w14:paraId="00A00BA5" w14:textId="77777777" w:rsidR="006F646F" w:rsidRDefault="006F646F" w:rsidP="006F646F">
      <w:pPr>
        <w:pStyle w:val="CommentText"/>
      </w:pPr>
      <w:r>
        <w:rPr>
          <w:rStyle w:val="CommentReference"/>
        </w:rPr>
        <w:annotationRef/>
      </w:r>
      <w:r>
        <w:t>Addition from Ken Eklund</w:t>
      </w:r>
    </w:p>
  </w:comment>
  <w:comment w:id="41" w:author="Rough, Ginger" w:date="2023-02-20T16:35:00Z" w:initials="RG">
    <w:p w14:paraId="16EB6ED1" w14:textId="77777777" w:rsidR="006F646F" w:rsidRDefault="006F646F" w:rsidP="006F646F">
      <w:pPr>
        <w:pStyle w:val="CommentText"/>
      </w:pPr>
      <w:r>
        <w:rPr>
          <w:rStyle w:val="CommentReference"/>
        </w:rPr>
        <w:annotationRef/>
      </w:r>
      <w:r>
        <w:t>Just out of curiosity, why are we using franchisee and other terminology? Would it not be simpler to use “Republic Services” or “Valley Landfills, Inc.” throughout??</w:t>
      </w:r>
    </w:p>
  </w:comment>
  <w:comment w:id="42" w:author="REDICK Daniel" w:date="2023-03-10T15:39:00Z" w:initials="RD">
    <w:p w14:paraId="61071267" w14:textId="77777777" w:rsidR="006F646F" w:rsidRDefault="006F646F" w:rsidP="006F646F">
      <w:pPr>
        <w:pStyle w:val="CommentText"/>
      </w:pPr>
      <w:r>
        <w:rPr>
          <w:rStyle w:val="CommentReference"/>
        </w:rPr>
        <w:annotationRef/>
      </w:r>
      <w:r>
        <w:t>From Ginger: Can we remove this, given what we’ve said above?</w:t>
      </w:r>
    </w:p>
  </w:comment>
  <w:comment w:id="43" w:author="Charles Gilbert" w:date="2023-03-09T18:25:00Z" w:initials="CG">
    <w:p w14:paraId="6759F3E3" w14:textId="77777777" w:rsidR="006F646F" w:rsidRDefault="006F646F" w:rsidP="006F646F">
      <w:pPr>
        <w:pStyle w:val="CommentText"/>
      </w:pPr>
      <w:r>
        <w:rPr>
          <w:rStyle w:val="CommentReference"/>
        </w:rPr>
        <w:annotationRef/>
      </w:r>
      <w:r>
        <w:t>The 2021 Site Development Plan has other valuable engineering information, besides annual intake. Just trying to put it in a better context, since the plan set is a requirement of DEQ's permit process, i.e. cell number, cell capacity, topography, etc..</w:t>
      </w:r>
    </w:p>
  </w:comment>
  <w:comment w:id="44" w:author="Rough, Ginger" w:date="2023-03-09T14:46:00Z" w:initials="RG">
    <w:p w14:paraId="00EE345E" w14:textId="77777777" w:rsidR="006F646F" w:rsidRDefault="006F646F" w:rsidP="006F646F">
      <w:pPr>
        <w:pStyle w:val="CommentText"/>
      </w:pPr>
      <w:r>
        <w:rPr>
          <w:rStyle w:val="CommentReference"/>
        </w:rPr>
        <w:annotationRef/>
      </w:r>
      <w:r>
        <w:t xml:space="preserve">Remove bold. There is no bold anywhere else in this subcommittee’s document, nor in the workgroup’s document that I’ve seen. </w:t>
      </w:r>
    </w:p>
  </w:comment>
  <w:comment w:id="45" w:author="Charles Gilbert" w:date="2023-03-09T19:38:00Z" w:initials="CG">
    <w:p w14:paraId="4D5BB903" w14:textId="77777777" w:rsidR="006F646F" w:rsidRDefault="006F646F" w:rsidP="006F646F">
      <w:pPr>
        <w:pStyle w:val="CommentText"/>
      </w:pPr>
      <w:r>
        <w:rPr>
          <w:rStyle w:val="CommentReference"/>
        </w:rPr>
        <w:annotationRef/>
      </w:r>
      <w:r>
        <w:t xml:space="preserve">Would the below additions support a consensus? </w:t>
      </w:r>
    </w:p>
  </w:comment>
  <w:comment w:id="46" w:author="REDICK Daniel" w:date="2023-02-15T08:49:00Z" w:initials="RD">
    <w:p w14:paraId="52D59124" w14:textId="77777777" w:rsidR="006F646F" w:rsidRDefault="006F646F" w:rsidP="006F646F">
      <w:pPr>
        <w:pStyle w:val="CommentText"/>
      </w:pPr>
      <w:r>
        <w:rPr>
          <w:rStyle w:val="CommentReference"/>
        </w:rPr>
        <w:annotationRef/>
      </w:r>
      <w:r>
        <w:t>These are not necessarily "intake increasing factors", as established later in the document.</w:t>
      </w:r>
    </w:p>
  </w:comment>
  <w:comment w:id="47" w:author="Rough, Ginger" w:date="2023-02-20T16:41:00Z" w:initials="RG">
    <w:p w14:paraId="662DEA57" w14:textId="77777777" w:rsidR="006F646F" w:rsidRDefault="006F646F" w:rsidP="006F646F">
      <w:pPr>
        <w:pStyle w:val="CommentText"/>
      </w:pPr>
      <w:r>
        <w:rPr>
          <w:rStyle w:val="CommentReference"/>
        </w:rPr>
        <w:annotationRef/>
      </w:r>
      <w:r>
        <w:t>This should be removed or rewritten as it does not match where we landed on Section 3.</w:t>
      </w:r>
    </w:p>
  </w:comment>
  <w:comment w:id="48" w:author="REDICK Daniel" w:date="2023-03-02T09:42:00Z" w:initials="RD">
    <w:p w14:paraId="0A840AC3" w14:textId="77777777" w:rsidR="006F646F" w:rsidRDefault="006F646F" w:rsidP="006F646F">
      <w:pPr>
        <w:pStyle w:val="CommentText"/>
      </w:pPr>
      <w:r>
        <w:rPr>
          <w:rStyle w:val="CommentReference"/>
        </w:rPr>
        <w:annotationRef/>
      </w:r>
      <w:r>
        <w:t>Added by Chuck 2.22.23</w:t>
      </w:r>
    </w:p>
  </w:comment>
  <w:comment w:id="49" w:author="REDICK Daniel" w:date="2023-03-10T15:41:00Z" w:initials="RD">
    <w:p w14:paraId="66D0DAEE" w14:textId="77777777" w:rsidR="006F646F" w:rsidRDefault="006F646F" w:rsidP="006F646F">
      <w:pPr>
        <w:pStyle w:val="CommentText"/>
      </w:pPr>
      <w:r>
        <w:rPr>
          <w:rStyle w:val="CommentReference"/>
        </w:rPr>
        <w:annotationRef/>
      </w:r>
      <w:r>
        <w:t>From Ginger: Recommend keeping this finding as opposed to the one noted above. Removed phrase that pre-supposes “bad actor” by not adhering to our contracts and the tonnage cap.</w:t>
      </w:r>
    </w:p>
  </w:comment>
  <w:comment w:id="50" w:author="REDICK Daniel" w:date="2023-03-10T15:42:00Z" w:initials="RD">
    <w:p w14:paraId="756BCBCD" w14:textId="77777777" w:rsidR="006F646F" w:rsidRDefault="006F646F" w:rsidP="006F646F">
      <w:pPr>
        <w:pStyle w:val="CommentText"/>
      </w:pPr>
      <w:r>
        <w:rPr>
          <w:rStyle w:val="CommentReference"/>
        </w:rPr>
        <w:annotationRef/>
      </w:r>
      <w:r>
        <w:t>From Ginger: Proposed alternate language here to reflect our approach later in this document.</w:t>
      </w:r>
    </w:p>
  </w:comment>
  <w:comment w:id="51" w:author="Rough, Ginger" w:date="2023-03-09T20:01:00Z" w:initials="RG">
    <w:p w14:paraId="5854FB5A" w14:textId="77777777" w:rsidR="006F646F" w:rsidRDefault="006F646F" w:rsidP="006F646F">
      <w:pPr>
        <w:pStyle w:val="CommentText"/>
      </w:pPr>
      <w:r>
        <w:rPr>
          <w:rStyle w:val="CommentReference"/>
        </w:rPr>
        <w:annotationRef/>
      </w:r>
      <w:r>
        <w:t>Tweaked language. Removed final sentence since I don’t have any context or information for this statistic. If some can be provided, happy to consider it.</w:t>
      </w:r>
    </w:p>
  </w:comment>
  <w:comment w:id="52" w:author="REDICK Daniel" w:date="2023-03-13T11:12:00Z" w:initials="RD">
    <w:p w14:paraId="7D00D99F" w14:textId="77777777" w:rsidR="00D04385" w:rsidRDefault="00D04385" w:rsidP="000F170D">
      <w:pPr>
        <w:pStyle w:val="CommentText"/>
      </w:pPr>
      <w:r>
        <w:rPr>
          <w:rStyle w:val="CommentReference"/>
        </w:rPr>
        <w:annotationRef/>
      </w:r>
      <w:r>
        <w:t>Ian to review</w:t>
      </w:r>
    </w:p>
  </w:comment>
  <w:comment w:id="53" w:author="Rough, Ginger" w:date="2023-02-09T15:19:00Z" w:initials="RG">
    <w:p w14:paraId="4F3B98A4" w14:textId="10310C6B" w:rsidR="006F646F" w:rsidRDefault="006F646F" w:rsidP="006F646F">
      <w:pPr>
        <w:pStyle w:val="CommentText"/>
      </w:pPr>
      <w:r>
        <w:rPr>
          <w:rStyle w:val="CommentReference"/>
        </w:rPr>
        <w:annotationRef/>
      </w:r>
      <w:r>
        <w:t>Adding this as a proposed finding for the group’s consideration. It is noted elsewhere in the body of Section 3.</w:t>
      </w:r>
    </w:p>
  </w:comment>
  <w:comment w:id="54" w:author="REDICK Daniel" w:date="2023-03-10T15:53:00Z" w:initials="RD">
    <w:p w14:paraId="3C5BA977" w14:textId="77777777" w:rsidR="006F646F" w:rsidRDefault="006F646F" w:rsidP="006F646F">
      <w:pPr>
        <w:pStyle w:val="CommentText"/>
      </w:pPr>
      <w:r>
        <w:rPr>
          <w:rStyle w:val="CommentReference"/>
        </w:rPr>
        <w:annotationRef/>
      </w:r>
      <w:r>
        <w:t>From Ginger: Re-wrote below for clarity. Might consider breaking these into two separate findings? They seems somewhat awkwardly combined.</w:t>
      </w:r>
    </w:p>
  </w:comment>
  <w:comment w:id="55" w:author="REDICK Daniel" w:date="2023-03-10T15:53:00Z" w:initials="RD">
    <w:p w14:paraId="3C140B7D" w14:textId="77777777" w:rsidR="004C12F4" w:rsidRDefault="004C12F4" w:rsidP="004C12F4">
      <w:pPr>
        <w:pStyle w:val="CommentText"/>
      </w:pPr>
      <w:r>
        <w:rPr>
          <w:rStyle w:val="CommentReference"/>
        </w:rPr>
        <w:annotationRef/>
      </w:r>
      <w:r>
        <w:t>From Ian: Ultimately based on what the legal subcommittee puts together this sentence needs to be removed.  The way it’s currently written makes it sound like cell 6 was the last addition.</w:t>
      </w:r>
    </w:p>
  </w:comment>
  <w:comment w:id="56" w:author="REDICK Daniel" w:date="2023-03-06T13:25:00Z" w:initials="RD">
    <w:p w14:paraId="1781D5FB" w14:textId="77777777" w:rsidR="006F646F" w:rsidRDefault="006F646F" w:rsidP="006F646F">
      <w:pPr>
        <w:pStyle w:val="CommentText"/>
      </w:pPr>
      <w:r>
        <w:rPr>
          <w:rStyle w:val="CommentReference"/>
        </w:rPr>
        <w:annotationRef/>
      </w:r>
      <w:r>
        <w:t>Legal subcommittee may have language for this.</w:t>
      </w:r>
    </w:p>
  </w:comment>
  <w:comment w:id="57" w:author="REDICK Daniel" w:date="2023-03-06T13:26:00Z" w:initials="RD">
    <w:p w14:paraId="6AFACA02" w14:textId="77777777" w:rsidR="006F646F" w:rsidRDefault="006F646F" w:rsidP="006F646F">
      <w:pPr>
        <w:pStyle w:val="CommentText"/>
      </w:pPr>
      <w:r>
        <w:rPr>
          <w:rStyle w:val="CommentReference"/>
        </w:rPr>
        <w:annotationRef/>
      </w:r>
      <w:r>
        <w:t>Group to review legal subcommittee language.</w:t>
      </w:r>
    </w:p>
  </w:comment>
  <w:comment w:id="58" w:author="Rough, Ginger" w:date="2023-03-09T20:20:00Z" w:initials="RG">
    <w:p w14:paraId="3224A809" w14:textId="77777777" w:rsidR="006F646F" w:rsidRDefault="006F646F" w:rsidP="006F646F">
      <w:pPr>
        <w:pStyle w:val="CommentText"/>
      </w:pPr>
      <w:r>
        <w:rPr>
          <w:rStyle w:val="CommentReference"/>
        </w:rPr>
        <w:annotationRef/>
      </w:r>
      <w:r>
        <w:t>Flagging this. Is this number correct? The way its written suggests that tonnage increased between 2003 and 2013 (which is logical), but the 2003 number is higher than the 2013 number.</w:t>
      </w:r>
    </w:p>
  </w:comment>
  <w:comment w:id="59" w:author="Ian Macnab" w:date="2023-03-10T10:26:00Z" w:initials="MI">
    <w:p w14:paraId="434F3E1B" w14:textId="77777777" w:rsidR="006F646F" w:rsidRDefault="006F646F" w:rsidP="006F646F">
      <w:pPr>
        <w:pStyle w:val="CommentText"/>
      </w:pPr>
      <w:r>
        <w:rPr>
          <w:rStyle w:val="CommentReference"/>
        </w:rPr>
        <w:annotationRef/>
      </w:r>
      <w:r>
        <w:t>I only have records going back to 2004, but this is probably correct.  Tonnage peaked in 2006 and then didn’t get back to the same level until 2016.</w:t>
      </w:r>
    </w:p>
  </w:comment>
  <w:comment w:id="60" w:author="REDICK Daniel" w:date="2023-03-10T15:56:00Z" w:initials="RD">
    <w:p w14:paraId="520E6DAB" w14:textId="77777777" w:rsidR="006F646F" w:rsidRDefault="006F646F" w:rsidP="006F646F">
      <w:pPr>
        <w:pStyle w:val="CommentText"/>
      </w:pPr>
      <w:r>
        <w:rPr>
          <w:rStyle w:val="CommentReference"/>
        </w:rPr>
        <w:annotationRef/>
      </w:r>
      <w:r>
        <w:t>2003+ numbers are correct based on annual report data (appendix A)</w:t>
      </w:r>
    </w:p>
  </w:comment>
  <w:comment w:id="61" w:author="Paul Nietfeld" w:date="2023-02-07T09:11:00Z" w:initials="PN">
    <w:p w14:paraId="0E922D7D" w14:textId="77777777" w:rsidR="006F646F" w:rsidRPr="001F66A8" w:rsidRDefault="006F646F" w:rsidP="006F646F">
      <w:pPr>
        <w:pStyle w:val="CommentText"/>
        <w:rPr>
          <w:color w:val="FF0000"/>
        </w:rPr>
      </w:pPr>
      <w:r>
        <w:rPr>
          <w:rStyle w:val="CommentReference"/>
        </w:rPr>
        <w:annotationRef/>
      </w:r>
      <w:r w:rsidRPr="001F66A8">
        <w:rPr>
          <w:color w:val="FF0000"/>
        </w:rPr>
        <w:t>Reworded prior to Republic comments received 7Feb.  Not updated with Republic’s suggested wording.</w:t>
      </w:r>
    </w:p>
  </w:comment>
  <w:comment w:id="62" w:author="Paul Nietfeld" w:date="2023-02-21T10:06:00Z" w:initials="PN">
    <w:p w14:paraId="18E7CB43" w14:textId="77777777" w:rsidR="006F646F" w:rsidRDefault="006F646F" w:rsidP="006F646F">
      <w:pPr>
        <w:pStyle w:val="CommentText"/>
      </w:pPr>
      <w:r>
        <w:rPr>
          <w:rStyle w:val="CommentReference"/>
        </w:rPr>
        <w:annotationRef/>
      </w:r>
      <w:r>
        <w:t>I recommend this version as the most detailed and complete.</w:t>
      </w:r>
    </w:p>
  </w:comment>
  <w:comment w:id="63" w:author="REDICK Daniel" w:date="2023-02-07T09:37:00Z" w:initials="RD">
    <w:p w14:paraId="0F6D7B52" w14:textId="77777777" w:rsidR="006F646F" w:rsidRDefault="006F646F" w:rsidP="006F646F">
      <w:pPr>
        <w:pStyle w:val="CommentText"/>
      </w:pPr>
      <w:r>
        <w:rPr>
          <w:rStyle w:val="CommentReference"/>
        </w:rPr>
        <w:annotationRef/>
      </w:r>
      <w:r>
        <w:t>Two findings from Paul</w:t>
      </w:r>
    </w:p>
  </w:comment>
  <w:comment w:id="64" w:author="Rough, Ginger" w:date="2023-02-09T11:09:00Z" w:initials="RG">
    <w:p w14:paraId="7620B22E" w14:textId="77777777" w:rsidR="006F646F" w:rsidRDefault="006F646F" w:rsidP="006F646F">
      <w:pPr>
        <w:pStyle w:val="CommentText"/>
      </w:pPr>
      <w:r>
        <w:rPr>
          <w:rStyle w:val="CommentReference"/>
        </w:rPr>
        <w:annotationRef/>
      </w:r>
      <w:r>
        <w:t xml:space="preserve">Republic Services needs to check on this language. </w:t>
      </w:r>
    </w:p>
  </w:comment>
  <w:comment w:id="65" w:author="Ian Macnab" w:date="2023-03-10T10:28:00Z" w:initials="MI">
    <w:p w14:paraId="5F609428" w14:textId="77777777" w:rsidR="006F646F" w:rsidRDefault="006F646F" w:rsidP="006F646F">
      <w:pPr>
        <w:pStyle w:val="CommentText"/>
      </w:pPr>
      <w:r>
        <w:rPr>
          <w:rStyle w:val="CommentReference"/>
        </w:rPr>
        <w:annotationRef/>
      </w:r>
      <w:r>
        <w:t>This finding is correct</w:t>
      </w:r>
    </w:p>
  </w:comment>
  <w:comment w:id="66" w:author="Rough, Ginger" w:date="2023-02-09T15:12:00Z" w:initials="RG">
    <w:p w14:paraId="1720AFB4" w14:textId="77777777" w:rsidR="006F646F" w:rsidRDefault="006F646F" w:rsidP="006F646F">
      <w:pPr>
        <w:pStyle w:val="CommentText"/>
      </w:pPr>
      <w:r>
        <w:rPr>
          <w:rStyle w:val="CommentReference"/>
        </w:rPr>
        <w:annotationRef/>
      </w:r>
      <w:r>
        <w:t>Added for context and clarity.</w:t>
      </w:r>
    </w:p>
  </w:comment>
  <w:comment w:id="67" w:author="Paul Nietfeld" w:date="2023-02-05T17:40:00Z" w:initials="PN">
    <w:p w14:paraId="5C0158D1" w14:textId="77777777" w:rsidR="006F646F" w:rsidRDefault="006F646F" w:rsidP="006F646F">
      <w:pPr>
        <w:pStyle w:val="CommentText"/>
      </w:pPr>
      <w:r>
        <w:rPr>
          <w:rStyle w:val="CommentReference"/>
        </w:rPr>
        <w:annotationRef/>
      </w:r>
      <w:r>
        <w:t>This is explained in the text, but wording needs to be improved here for clarity.</w:t>
      </w:r>
    </w:p>
  </w:comment>
  <w:comment w:id="69" w:author="Paul Nietfeld" w:date="2023-02-05T15:09:00Z" w:initials="PN">
    <w:p w14:paraId="3AB92E41" w14:textId="77777777" w:rsidR="006F646F" w:rsidRDefault="006F646F" w:rsidP="006F646F">
      <w:pPr>
        <w:pStyle w:val="CommentText"/>
      </w:pPr>
      <w:r>
        <w:rPr>
          <w:rStyle w:val="CommentReference"/>
        </w:rPr>
        <w:annotationRef/>
      </w:r>
      <w:r>
        <w:t>I believe we should keep this statement as documentation of what has been presented to the Commissioners on this subject.  Other Findings edits make clear this is not a “limit.”</w:t>
      </w:r>
    </w:p>
  </w:comment>
  <w:comment w:id="70" w:author="REDICK Daniel" w:date="2023-02-21T16:58:00Z" w:initials="RD">
    <w:p w14:paraId="6D3055C4" w14:textId="77777777" w:rsidR="006F646F" w:rsidRDefault="006F646F" w:rsidP="006F646F">
      <w:pPr>
        <w:pStyle w:val="CommentText"/>
      </w:pPr>
      <w:r>
        <w:rPr>
          <w:rStyle w:val="CommentReference"/>
        </w:rPr>
        <w:annotationRef/>
      </w:r>
      <w:r>
        <w:t>I recommend that the group focus on clarifying the importance of this. Perhaps consider something like, "Some neighboring residents have been concerned about the exceedances of the 2000 tonnage threshold, because they considered the 2000 tonnage threshold as a maximum amount allowed, as communicated In an official 2018 presentation to Benton County Board of Commissioners, where Benton County represented the 2000 Franchise Agreement intake threshold as “Annual Maximums Specified in Franchise Agreement.”  "</w:t>
      </w:r>
    </w:p>
  </w:comment>
  <w:comment w:id="71" w:author="Rough, Ginger" w:date="2023-02-09T15:08:00Z" w:initials="RG">
    <w:p w14:paraId="72573E74" w14:textId="77777777" w:rsidR="006F646F" w:rsidRDefault="006F646F" w:rsidP="006F646F">
      <w:pPr>
        <w:pStyle w:val="CommentText"/>
      </w:pPr>
      <w:r>
        <w:rPr>
          <w:rStyle w:val="CommentReference"/>
        </w:rPr>
        <w:annotationRef/>
      </w:r>
      <w:r>
        <w:t>Added language.</w:t>
      </w:r>
    </w:p>
  </w:comment>
  <w:comment w:id="72" w:author="Paul Nietfeld" w:date="2023-02-07T09:15:00Z" w:initials="PN">
    <w:p w14:paraId="1803EAE5" w14:textId="77777777" w:rsidR="006F646F" w:rsidRPr="001F66A8" w:rsidRDefault="006F646F" w:rsidP="006F646F">
      <w:pPr>
        <w:pStyle w:val="CommentText"/>
        <w:rPr>
          <w:color w:val="FF0000"/>
        </w:rPr>
      </w:pPr>
      <w:r>
        <w:rPr>
          <w:rStyle w:val="CommentReference"/>
        </w:rPr>
        <w:annotationRef/>
      </w:r>
      <w:r w:rsidRPr="001F66A8">
        <w:rPr>
          <w:color w:val="FF0000"/>
        </w:rPr>
        <w:t>Reworded prior to Republic comments received 7Feb for LSCL-F-9.  LSCL-F-9 has been deleted as a result of consolidation and rephrasing of other findings.</w:t>
      </w:r>
    </w:p>
  </w:comment>
  <w:comment w:id="73" w:author="REDICK Daniel" w:date="2023-02-21T21:14:00Z" w:initials="RD">
    <w:p w14:paraId="69570551" w14:textId="77777777" w:rsidR="006F646F" w:rsidRDefault="006F646F" w:rsidP="006F646F">
      <w:pPr>
        <w:pStyle w:val="CommentText"/>
      </w:pPr>
      <w:r>
        <w:rPr>
          <w:rStyle w:val="CommentReference"/>
        </w:rPr>
        <w:annotationRef/>
      </w:r>
      <w:r>
        <w:t>From Paul</w:t>
      </w:r>
    </w:p>
  </w:comment>
  <w:comment w:id="74" w:author="Yeager, Mark" w:date="2023-02-03T10:57:00Z" w:initials="YM">
    <w:p w14:paraId="4A73E21F" w14:textId="77777777" w:rsidR="006F646F" w:rsidRDefault="006F646F" w:rsidP="006F646F">
      <w:pPr>
        <w:pStyle w:val="CommentText"/>
      </w:pPr>
      <w:r>
        <w:rPr>
          <w:rStyle w:val="CommentReference"/>
        </w:rPr>
        <w:annotationRef/>
      </w:r>
      <w:r>
        <w:t>Not sure this is the right word for this sentence</w:t>
      </w:r>
    </w:p>
  </w:comment>
  <w:comment w:id="75" w:author="REDICK Daniel" w:date="2023-02-21T21:15:00Z" w:initials="RD">
    <w:p w14:paraId="29A9514B" w14:textId="77777777" w:rsidR="006F646F" w:rsidRDefault="006F646F" w:rsidP="006F646F">
      <w:pPr>
        <w:pStyle w:val="CommentText"/>
      </w:pPr>
      <w:r>
        <w:rPr>
          <w:rStyle w:val="CommentReference"/>
        </w:rPr>
        <w:annotationRef/>
      </w:r>
      <w:r>
        <w:t>From Paul: Propose delete.</w:t>
      </w:r>
    </w:p>
  </w:comment>
  <w:comment w:id="76" w:author="REDICK Daniel" w:date="2023-03-10T15:59:00Z" w:initials="RD">
    <w:p w14:paraId="5FA068A9" w14:textId="77777777" w:rsidR="006F646F" w:rsidRDefault="006F646F" w:rsidP="006F646F">
      <w:pPr>
        <w:pStyle w:val="CommentText"/>
      </w:pPr>
      <w:r>
        <w:rPr>
          <w:rStyle w:val="CommentReference"/>
        </w:rPr>
        <w:annotationRef/>
      </w:r>
      <w:r>
        <w:t>From Ginger: Unclear to me why Paul proposed deleting this. I am fine with that, but I am also OK if it stays.</w:t>
      </w:r>
    </w:p>
  </w:comment>
  <w:comment w:id="77" w:author="REDICK Daniel" w:date="2023-03-10T16:00:00Z" w:initials="RD">
    <w:p w14:paraId="27DC0100" w14:textId="77777777" w:rsidR="006F646F" w:rsidRDefault="006F646F" w:rsidP="006F646F">
      <w:pPr>
        <w:pStyle w:val="CommentText"/>
      </w:pPr>
      <w:r>
        <w:rPr>
          <w:rStyle w:val="CommentReference"/>
        </w:rPr>
        <w:annotationRef/>
      </w:r>
      <w:r>
        <w:t xml:space="preserve">I think Paul's note was from before we all reviewed these when there were multiple versions of this finding. </w:t>
      </w:r>
    </w:p>
  </w:comment>
  <w:comment w:id="78" w:author="Rough, Ginger" w:date="2023-03-09T20:27:00Z" w:initials="RG">
    <w:p w14:paraId="3E1F1C2A" w14:textId="77777777" w:rsidR="006F646F" w:rsidRDefault="006F646F" w:rsidP="006F646F">
      <w:pPr>
        <w:pStyle w:val="CommentText"/>
      </w:pPr>
      <w:r>
        <w:rPr>
          <w:rStyle w:val="CommentReference"/>
        </w:rPr>
        <w:annotationRef/>
      </w:r>
      <w:r>
        <w:t>I proposed this rewrite to address Sam’s comments.</w:t>
      </w:r>
    </w:p>
  </w:comment>
  <w:comment w:id="79" w:author="Yeager, Mark" w:date="2023-02-03T11:11:00Z" w:initials="YM">
    <w:p w14:paraId="7B74935A" w14:textId="77777777" w:rsidR="006F646F" w:rsidRDefault="006F646F" w:rsidP="006F646F">
      <w:pPr>
        <w:pStyle w:val="CommentText"/>
      </w:pPr>
      <w:r>
        <w:rPr>
          <w:rStyle w:val="CommentReference"/>
        </w:rPr>
        <w:annotationRef/>
      </w:r>
      <w:r>
        <w:t>Again, no real data to support this claim. Also, it is interesting that there is no mention of Republic's efforts to gain additional contracts for hauling and disposal of trash from other counties and jurisdiction. It deliberately ignores the increased tonnage from those sources.</w:t>
      </w:r>
    </w:p>
  </w:comment>
  <w:comment w:id="80" w:author="Rough, Ginger" w:date="2023-03-09T20:31:00Z" w:initials="RG">
    <w:p w14:paraId="4245DC41" w14:textId="77777777" w:rsidR="006F646F" w:rsidRDefault="006F646F" w:rsidP="006F646F">
      <w:pPr>
        <w:pStyle w:val="CommentText"/>
      </w:pPr>
      <w:r>
        <w:rPr>
          <w:rStyle w:val="CommentReference"/>
        </w:rPr>
        <w:annotationRef/>
      </w:r>
      <w:r>
        <w:t>There are several articles that address these trends on a worldwide scale. I believe we have addressed the business aspects and the service area throughout this document.</w:t>
      </w:r>
    </w:p>
  </w:comment>
  <w:comment w:id="81" w:author="Rough, Ginger" w:date="2023-02-20T16:53:00Z" w:initials="RG">
    <w:p w14:paraId="0D1F8D7F" w14:textId="77777777" w:rsidR="006F646F" w:rsidRDefault="006F646F" w:rsidP="006F646F">
      <w:pPr>
        <w:pStyle w:val="CommentText"/>
      </w:pPr>
      <w:r>
        <w:rPr>
          <w:rStyle w:val="CommentReference"/>
        </w:rPr>
        <w:annotationRef/>
      </w:r>
      <w:r>
        <w:t>Human factors are listed near the top of the findings and recommendations as well. Need to eliminate redundancies.</w:t>
      </w:r>
    </w:p>
  </w:comment>
  <w:comment w:id="82" w:author="REDICK Daniel" w:date="2023-02-21T09:30:00Z" w:initials="RD">
    <w:p w14:paraId="0E83F97C" w14:textId="77777777" w:rsidR="006F646F" w:rsidRDefault="006F646F" w:rsidP="006F646F">
      <w:pPr>
        <w:pStyle w:val="CommentText"/>
      </w:pPr>
      <w:r>
        <w:rPr>
          <w:rStyle w:val="CommentReference"/>
        </w:rPr>
        <w:annotationRef/>
      </w:r>
      <w:r>
        <w:t>Note: Comment applies to F-38 and F-39.</w:t>
      </w:r>
    </w:p>
  </w:comment>
  <w:comment w:id="83" w:author="Rough, Ginger" w:date="2023-03-09T20:33:00Z" w:initials="RG">
    <w:p w14:paraId="7806D44C" w14:textId="77777777" w:rsidR="006F646F" w:rsidRDefault="006F646F" w:rsidP="006F646F">
      <w:pPr>
        <w:pStyle w:val="CommentText"/>
      </w:pPr>
      <w:r>
        <w:rPr>
          <w:rStyle w:val="CommentReference"/>
        </w:rPr>
        <w:annotationRef/>
      </w:r>
      <w:r>
        <w:t>We need to reconcile these findings with those new ones written by Ken (which don’t yet have numbers.) We have some redundancies here. (Referring to 27 and 29.)</w:t>
      </w:r>
    </w:p>
  </w:comment>
  <w:comment w:id="84" w:author="REDICK Daniel" w:date="2023-02-21T21:19:00Z" w:initials="RD">
    <w:p w14:paraId="390B680A" w14:textId="77777777" w:rsidR="006F646F" w:rsidRDefault="006F646F" w:rsidP="006F646F">
      <w:pPr>
        <w:pStyle w:val="CommentText"/>
      </w:pPr>
      <w:r>
        <w:rPr>
          <w:rStyle w:val="CommentReference"/>
        </w:rPr>
        <w:annotationRef/>
      </w:r>
      <w:r>
        <w:t>From Paul: Redundant with (c) above.  Propose delete.</w:t>
      </w:r>
    </w:p>
  </w:comment>
  <w:comment w:id="85" w:author="REDICK Daniel" w:date="2023-02-21T21:21:00Z" w:initials="RD">
    <w:p w14:paraId="5A769C99" w14:textId="77777777" w:rsidR="006F646F" w:rsidRDefault="006F646F" w:rsidP="006F646F">
      <w:pPr>
        <w:pStyle w:val="CommentText"/>
      </w:pPr>
      <w:r>
        <w:rPr>
          <w:rStyle w:val="CommentReference"/>
        </w:rPr>
        <w:annotationRef/>
      </w:r>
      <w:r>
        <w:t>From Paul</w:t>
      </w:r>
    </w:p>
  </w:comment>
  <w:comment w:id="86" w:author="Paul Nietfeld" w:date="2023-02-06T07:31:00Z" w:initials="PN">
    <w:p w14:paraId="1362870E" w14:textId="77777777" w:rsidR="006F646F" w:rsidRDefault="006F646F" w:rsidP="006F646F">
      <w:pPr>
        <w:pStyle w:val="CommentText"/>
      </w:pPr>
      <w:r>
        <w:rPr>
          <w:rStyle w:val="CommentReference"/>
        </w:rPr>
        <w:annotationRef/>
      </w:r>
      <w:r>
        <w:t>Underline emphasis added (original text stated “eliminated”)</w:t>
      </w:r>
    </w:p>
  </w:comment>
  <w:comment w:id="87" w:author="Paul Nietfeld" w:date="2023-02-07T09:28:00Z" w:initials="PN">
    <w:p w14:paraId="45E3E606" w14:textId="77777777" w:rsidR="006F646F" w:rsidRPr="001F66A8" w:rsidRDefault="006F646F" w:rsidP="006F646F">
      <w:pPr>
        <w:pStyle w:val="CommentText"/>
        <w:rPr>
          <w:color w:val="FF0000"/>
        </w:rPr>
      </w:pPr>
      <w:r>
        <w:rPr>
          <w:rStyle w:val="CommentReference"/>
        </w:rPr>
        <w:annotationRef/>
      </w:r>
      <w:r w:rsidRPr="001F66A8">
        <w:rPr>
          <w:color w:val="FF0000"/>
        </w:rPr>
        <w:t>Republic suggests alternate (milder) language here 7Feb, and notes memorialization of the CUP procedural requirement in the 2002 MOU.  Needs discussion.</w:t>
      </w:r>
    </w:p>
  </w:comment>
  <w:comment w:id="88" w:author="Paul Nietfeld" w:date="2023-02-06T07:31:00Z" w:initials="PN">
    <w:p w14:paraId="52FC4806" w14:textId="77777777" w:rsidR="006F646F" w:rsidRDefault="006F646F" w:rsidP="006F646F">
      <w:pPr>
        <w:pStyle w:val="CommentText"/>
      </w:pPr>
      <w:r>
        <w:rPr>
          <w:rStyle w:val="CommentReference"/>
        </w:rPr>
        <w:annotationRef/>
      </w:r>
      <w:r>
        <w:t>Underline emphasis added (original text stated “eliminated”)</w:t>
      </w:r>
    </w:p>
  </w:comment>
  <w:comment w:id="89" w:author="Rough, Ginger" w:date="2023-02-09T15:12:00Z" w:initials="RG">
    <w:p w14:paraId="3363F1D6" w14:textId="77777777" w:rsidR="006F646F" w:rsidRDefault="006F646F" w:rsidP="006F646F">
      <w:pPr>
        <w:pStyle w:val="CommentText"/>
      </w:pPr>
      <w:r>
        <w:rPr>
          <w:rStyle w:val="CommentReference"/>
        </w:rPr>
        <w:annotationRef/>
      </w:r>
      <w:r>
        <w:t>Republic Services would like to add the language in red.</w:t>
      </w:r>
    </w:p>
  </w:comment>
  <w:comment w:id="90" w:author="Paul Nietfeld" w:date="2023-02-05T20:09:00Z" w:initials="PN">
    <w:p w14:paraId="1454997B" w14:textId="77777777" w:rsidR="006F646F" w:rsidRDefault="006F646F" w:rsidP="006F646F">
      <w:pPr>
        <w:pStyle w:val="CommentText"/>
      </w:pPr>
      <w:r>
        <w:rPr>
          <w:rStyle w:val="CommentReference"/>
        </w:rPr>
        <w:annotationRef/>
      </w:r>
      <w:r>
        <w:t>Need something more definitive/meaningful here.</w:t>
      </w:r>
    </w:p>
  </w:comment>
  <w:comment w:id="91" w:author="Rough, Ginger" w:date="2023-02-09T11:24:00Z" w:initials="RG">
    <w:p w14:paraId="0C90B643" w14:textId="77777777" w:rsidR="006F646F" w:rsidRDefault="006F646F" w:rsidP="006F646F">
      <w:pPr>
        <w:pStyle w:val="CommentText"/>
      </w:pPr>
      <w:r>
        <w:rPr>
          <w:rStyle w:val="CommentReference"/>
        </w:rPr>
        <w:annotationRef/>
      </w:r>
      <w:r>
        <w:t>Are we trying to say it’s grown or gotten taller? Republic Services is Ok with such phrasing. Made an attempt to address.</w:t>
      </w:r>
    </w:p>
  </w:comment>
  <w:comment w:id="94" w:author="REDICK Daniel" w:date="2023-02-24T09:56:00Z" w:initials="RD">
    <w:p w14:paraId="53F7AA60" w14:textId="77777777" w:rsidR="006F646F" w:rsidRDefault="006F646F" w:rsidP="006F646F">
      <w:pPr>
        <w:pStyle w:val="CommentText"/>
      </w:pPr>
      <w:r>
        <w:rPr>
          <w:rStyle w:val="CommentReference"/>
        </w:rPr>
        <w:annotationRef/>
      </w:r>
      <w:r>
        <w:t>Notes from 2/23 WG Meeting:</w:t>
      </w:r>
    </w:p>
    <w:p w14:paraId="5F5014F7" w14:textId="77777777" w:rsidR="006F646F" w:rsidRDefault="006F646F" w:rsidP="006F646F">
      <w:pPr>
        <w:pStyle w:val="CommentText"/>
      </w:pPr>
    </w:p>
    <w:p w14:paraId="1E413DBF" w14:textId="77777777" w:rsidR="006F646F" w:rsidRDefault="006F646F" w:rsidP="006F646F">
      <w:pPr>
        <w:pStyle w:val="CommentText"/>
      </w:pPr>
      <w:r>
        <w:t>- Crosswalk with SMMP subcommittee</w:t>
      </w:r>
    </w:p>
  </w:comment>
  <w:comment w:id="95" w:author="Rough, Ginger" w:date="2023-03-09T20:42:00Z" w:initials="RG">
    <w:p w14:paraId="6F7EC7A2" w14:textId="77777777" w:rsidR="006F646F" w:rsidRDefault="006F646F" w:rsidP="006F646F">
      <w:pPr>
        <w:pStyle w:val="CommentText"/>
      </w:pPr>
      <w:r>
        <w:rPr>
          <w:rStyle w:val="CommentReference"/>
        </w:rPr>
        <w:annotationRef/>
      </w:r>
      <w:r>
        <w:t>Republic Services obviously supports transparency as it relates to matters that are of public interest. That said, there are elements of these discussions that are likely to be proprietary and/or fall under attorney-client privilege. It may be beneficial to acknowledge that here.</w:t>
      </w:r>
    </w:p>
  </w:comment>
  <w:comment w:id="96" w:author="Rough, Ginger" w:date="2023-03-09T20:43:00Z" w:initials="RG">
    <w:p w14:paraId="6DBD85FD" w14:textId="77777777" w:rsidR="006F646F" w:rsidRDefault="006F646F" w:rsidP="006F646F">
      <w:pPr>
        <w:pStyle w:val="CommentText"/>
      </w:pPr>
      <w:r>
        <w:rPr>
          <w:rStyle w:val="CommentReference"/>
        </w:rPr>
        <w:annotationRef/>
      </w:r>
      <w:r>
        <w:t>This finding will either need to be stricken or updated based on latest discussions between Benton County and Republic Services that address this issue.</w:t>
      </w:r>
    </w:p>
  </w:comment>
  <w:comment w:id="97" w:author="Rough, Ginger" w:date="2023-03-09T20:45:00Z" w:initials="RG">
    <w:p w14:paraId="1ACA29BB" w14:textId="77777777" w:rsidR="006F646F" w:rsidRDefault="006F646F" w:rsidP="006F646F">
      <w:pPr>
        <w:pStyle w:val="CommentText"/>
      </w:pPr>
      <w:r>
        <w:rPr>
          <w:rStyle w:val="CommentReference"/>
        </w:rPr>
        <w:annotationRef/>
      </w:r>
      <w:r>
        <w:t>I don’t anticipate these being available earlier than their current release schedule.</w:t>
      </w:r>
    </w:p>
  </w:comment>
  <w:comment w:id="98" w:author="Rough, Ginger" w:date="2023-03-09T20:46:00Z" w:initials="RG">
    <w:p w14:paraId="58AFB749" w14:textId="77777777" w:rsidR="006F646F" w:rsidRDefault="006F646F" w:rsidP="006F646F">
      <w:pPr>
        <w:pStyle w:val="CommentText"/>
      </w:pPr>
      <w:r>
        <w:rPr>
          <w:rStyle w:val="CommentReference"/>
        </w:rPr>
        <w:annotationRef/>
      </w:r>
      <w:r>
        <w:t>I would like further clarification on what we’re recommending here? I don’t see a specific “recommendation.”</w:t>
      </w:r>
    </w:p>
  </w:comment>
  <w:comment w:id="99" w:author="Rough, Ginger" w:date="2023-03-09T20:47:00Z" w:initials="RG">
    <w:p w14:paraId="6053C604" w14:textId="77777777" w:rsidR="006F646F" w:rsidRDefault="006F646F" w:rsidP="006F646F">
      <w:pPr>
        <w:pStyle w:val="CommentText"/>
      </w:pPr>
      <w:r>
        <w:rPr>
          <w:rStyle w:val="CommentReference"/>
        </w:rPr>
        <w:annotationRef/>
      </w:r>
      <w:r>
        <w:t>I am in support of this finding and I think discussions of methane that support diversion efforts are appropriate for this group.</w:t>
      </w:r>
    </w:p>
  </w:comment>
  <w:comment w:id="100" w:author="Bill Bromann" w:date="2023-03-10T14:25:00Z" w:initials="BB">
    <w:p w14:paraId="08E05EF9" w14:textId="77777777" w:rsidR="006F646F" w:rsidRDefault="006F646F" w:rsidP="006F646F">
      <w:pPr>
        <w:pStyle w:val="CommentText"/>
      </w:pPr>
      <w:r>
        <w:rPr>
          <w:rStyle w:val="CommentReference"/>
        </w:rPr>
        <w:annotationRef/>
      </w:r>
      <w:r>
        <w:t>Should we speak to the greenwaste collection and diversion efforts currently in place with several cities and the PRC?</w:t>
      </w:r>
    </w:p>
  </w:comment>
  <w:comment w:id="103" w:author="REDICK Daniel" w:date="2023-02-02T13:37:00Z" w:initials="RD">
    <w:p w14:paraId="22A82FEE" w14:textId="77777777" w:rsidR="006F646F" w:rsidRDefault="006F646F" w:rsidP="006F646F">
      <w:pPr>
        <w:pStyle w:val="CommentText"/>
      </w:pPr>
      <w:r>
        <w:rPr>
          <w:rStyle w:val="CommentReference"/>
        </w:rPr>
        <w:annotationRef/>
      </w:r>
      <w:r>
        <w:t>We already have modern data for reported site life from Landfill annual reports, which I recommend using instead of EPA data for consistency with the rest of the document. This table should probably focus on adding historical data points prior to that available in the landfill annual reports.</w:t>
      </w:r>
    </w:p>
  </w:comment>
  <w:comment w:id="104" w:author="SCHERMER Maren" w:date="2023-03-02T16:34:00Z" w:initials="SM">
    <w:p w14:paraId="29437D27" w14:textId="77777777" w:rsidR="006F646F" w:rsidRDefault="006F646F" w:rsidP="006F646F">
      <w:pPr>
        <w:pStyle w:val="CommentText"/>
      </w:pPr>
      <w:r>
        <w:rPr>
          <w:rStyle w:val="CommentReference"/>
        </w:rPr>
        <w:annotationRef/>
      </w:r>
      <w:r>
        <w:t>Addition from Ken Eklund.</w:t>
      </w:r>
    </w:p>
  </w:comment>
  <w:comment w:id="112" w:author="Paul Nietfeld" w:date="2023-01-11T18:15:00Z" w:initials="PN">
    <w:p w14:paraId="1D2503C8" w14:textId="77777777" w:rsidR="006F646F" w:rsidRDefault="006F646F" w:rsidP="006F646F">
      <w:pPr>
        <w:pStyle w:val="CommentText"/>
      </w:pPr>
      <w:r>
        <w:rPr>
          <w:rStyle w:val="CommentReference"/>
        </w:rPr>
        <w:annotationRef/>
      </w:r>
      <w:r>
        <w:t xml:space="preserve">Daniel:  What is the source for this language?  The 1983 rezoning Staff Report appears to state “…no additional landfill activities unless approved by the Planning Commission at a public hearing.” </w:t>
      </w:r>
    </w:p>
  </w:comment>
  <w:comment w:id="113" w:author="REDICK Daniel" w:date="2023-01-24T11:22:00Z" w:initials="RD">
    <w:p w14:paraId="300ED57E" w14:textId="77777777" w:rsidR="006F646F" w:rsidRDefault="006F646F" w:rsidP="006F646F">
      <w:pPr>
        <w:pStyle w:val="CommentText"/>
      </w:pPr>
      <w:r>
        <w:rPr>
          <w:rStyle w:val="CommentReference"/>
        </w:rPr>
        <w:annotationRef/>
      </w:r>
      <w:r>
        <w:t xml:space="preserve">Chapter 77.305 </w:t>
      </w:r>
    </w:p>
  </w:comment>
  <w:comment w:id="114" w:author="Rough, Ginger" w:date="2022-12-14T10:43:00Z" w:initials="RG">
    <w:p w14:paraId="44210157" w14:textId="77777777" w:rsidR="006F646F" w:rsidRDefault="006F646F" w:rsidP="006F646F">
      <w:pPr>
        <w:pStyle w:val="CommentText"/>
      </w:pPr>
      <w:r>
        <w:rPr>
          <w:rStyle w:val="CommentReference"/>
        </w:rPr>
        <w:annotationRef/>
      </w:r>
      <w:r>
        <w:t>Since 1983, the total acreage of the permitted landfill site has remained largely unchanged.</w:t>
      </w:r>
    </w:p>
  </w:comment>
  <w:comment w:id="115" w:author="REDICK Daniel" w:date="2023-01-10T13:32:00Z" w:initials="RD">
    <w:p w14:paraId="413D33C8" w14:textId="77777777" w:rsidR="006F646F" w:rsidRDefault="006F646F" w:rsidP="006F646F">
      <w:pPr>
        <w:pStyle w:val="CommentText"/>
      </w:pPr>
      <w:r>
        <w:rPr>
          <w:rStyle w:val="CommentReference"/>
        </w:rPr>
        <w:annotationRef/>
      </w:r>
      <w:r>
        <w:t>Added</w:t>
      </w:r>
    </w:p>
  </w:comment>
  <w:comment w:id="118" w:author="REDICK Daniel" w:date="2023-01-17T10:59:00Z" w:initials="RD">
    <w:p w14:paraId="63F85CF1" w14:textId="77777777" w:rsidR="006F646F" w:rsidRDefault="006F646F" w:rsidP="006F646F">
      <w:pPr>
        <w:pStyle w:val="CommentText"/>
      </w:pPr>
      <w:r>
        <w:rPr>
          <w:rStyle w:val="CommentReference"/>
        </w:rPr>
        <w:annotationRef/>
      </w:r>
      <w:r>
        <w:t>Perhaps use google earth to compare similar perspectives in next draft.</w:t>
      </w:r>
    </w:p>
  </w:comment>
  <w:comment w:id="119" w:author="REDICK Daniel" w:date="2023-01-26T11:39:00Z" w:initials="RD">
    <w:p w14:paraId="4A1268DC" w14:textId="77777777" w:rsidR="006F646F" w:rsidRDefault="006F646F" w:rsidP="006F646F">
      <w:pPr>
        <w:pStyle w:val="CommentText"/>
      </w:pPr>
      <w:r>
        <w:rPr>
          <w:rStyle w:val="CommentReference"/>
        </w:rPr>
        <w:annotationRef/>
      </w:r>
      <w:r>
        <w:t>Done, added several aerial images provided by Paul.</w:t>
      </w:r>
    </w:p>
  </w:comment>
  <w:comment w:id="127" w:author="REDICK Daniel" w:date="2022-12-29T10:28:00Z" w:initials="RD">
    <w:p w14:paraId="3F4D9B8F" w14:textId="77777777" w:rsidR="006F646F" w:rsidRDefault="006F646F" w:rsidP="006F646F">
      <w:pPr>
        <w:pStyle w:val="CommentText"/>
      </w:pPr>
      <w:r>
        <w:rPr>
          <w:rStyle w:val="CommentReference"/>
        </w:rPr>
        <w:annotationRef/>
      </w:r>
      <w:r>
        <w:t>It is unclear what capacity information is included in these Site Development Plan (SDP) snapshots of data, and it might not be helpful to compare these as "benchmarks" from year-to-year. The annual reports probably have the most helpful total capacity data available, while the SDP capacity information seems to only relate to the volumes associated with planned development at that point in time.</w:t>
      </w:r>
    </w:p>
  </w:comment>
  <w:comment w:id="128" w:author="REDICK Daniel" w:date="2023-01-10T13:35:00Z" w:initials="RD">
    <w:p w14:paraId="1F559C69" w14:textId="77777777" w:rsidR="006F646F" w:rsidRDefault="006F646F" w:rsidP="006F646F">
      <w:pPr>
        <w:pStyle w:val="CommentText"/>
      </w:pPr>
      <w:r>
        <w:rPr>
          <w:rStyle w:val="CommentReference"/>
        </w:rPr>
        <w:annotationRef/>
      </w:r>
      <w:r>
        <w:t>Suggestion from the group to use historical lifespan projections documented over time, instead of permitted capacity, due to lack of information/data available on permitted capacity prior to 2004.</w:t>
      </w:r>
    </w:p>
  </w:comment>
  <w:comment w:id="129" w:author="REDICK Daniel" w:date="2023-01-17T11:05:00Z" w:initials="RD">
    <w:p w14:paraId="325E2B5B" w14:textId="77777777" w:rsidR="006F646F" w:rsidRDefault="006F646F" w:rsidP="006F646F">
      <w:pPr>
        <w:pStyle w:val="CommentText"/>
      </w:pPr>
      <w:r>
        <w:rPr>
          <w:rStyle w:val="CommentReference"/>
        </w:rPr>
        <w:annotationRef/>
      </w:r>
      <w:r>
        <w:t>Consult DEQ permit documents.</w:t>
      </w:r>
    </w:p>
  </w:comment>
  <w:comment w:id="130" w:author="Paul Nietfeld" w:date="2023-01-11T12:06:00Z" w:initials="PN">
    <w:p w14:paraId="61B21946" w14:textId="77777777" w:rsidR="006F646F" w:rsidRDefault="006F646F" w:rsidP="006F646F">
      <w:pPr>
        <w:pStyle w:val="CommentText"/>
      </w:pPr>
      <w:r>
        <w:rPr>
          <w:rStyle w:val="CommentReference"/>
        </w:rPr>
        <w:annotationRef/>
      </w:r>
      <w:r>
        <w:t>If Republic Services would like to include Cell 1 volume for completeness, please supply the volume figure for that cell.</w:t>
      </w:r>
    </w:p>
  </w:comment>
  <w:comment w:id="131" w:author="Paul Nietfeld" w:date="2023-02-03T11:01:00Z" w:initials="PN">
    <w:p w14:paraId="05B94B19" w14:textId="77777777" w:rsidR="0007732C" w:rsidRDefault="0007732C" w:rsidP="006F646F">
      <w:pPr>
        <w:pStyle w:val="CommentText"/>
      </w:pPr>
      <w:r>
        <w:rPr>
          <w:rStyle w:val="CommentReference"/>
        </w:rPr>
        <w:annotationRef/>
      </w:r>
      <w:r>
        <w:t>Still looking for date and instrument granting formal county approval of Cell 6 permitted space</w:t>
      </w:r>
    </w:p>
  </w:comment>
  <w:comment w:id="132" w:author="Paul Nietfeld" w:date="2023-01-11T12:12:00Z" w:initials="PN">
    <w:p w14:paraId="61412D33" w14:textId="77777777" w:rsidR="0007732C" w:rsidRDefault="0007732C" w:rsidP="006F646F">
      <w:pPr>
        <w:pStyle w:val="CommentText"/>
      </w:pPr>
      <w:r>
        <w:rPr>
          <w:rStyle w:val="CommentReference"/>
        </w:rPr>
        <w:annotationRef/>
      </w:r>
      <w:r w:rsidRPr="00195C2E">
        <w:rPr>
          <w:color w:val="FF0000"/>
        </w:rPr>
        <w:t>Daniel:  when was the addition of Cell 6</w:t>
      </w:r>
      <w:r>
        <w:rPr>
          <w:color w:val="FF0000"/>
        </w:rPr>
        <w:t xml:space="preserve"> formally</w:t>
      </w:r>
      <w:r w:rsidRPr="00195C2E">
        <w:rPr>
          <w:color w:val="FF0000"/>
        </w:rPr>
        <w:t xml:space="preserve"> approved by the county?</w:t>
      </w:r>
      <w:r>
        <w:rPr>
          <w:color w:val="FF0000"/>
        </w:rPr>
        <w:t xml:space="preserve"> </w:t>
      </w:r>
    </w:p>
  </w:comment>
  <w:comment w:id="133" w:author="REDICK Daniel" w:date="2023-01-17T11:11:00Z" w:initials="RD">
    <w:p w14:paraId="1C6FEDD9" w14:textId="77777777" w:rsidR="0007732C" w:rsidRDefault="0007732C" w:rsidP="006F646F">
      <w:pPr>
        <w:pStyle w:val="CommentText"/>
      </w:pPr>
      <w:r>
        <w:rPr>
          <w:rStyle w:val="CommentReference"/>
        </w:rPr>
        <w:annotationRef/>
      </w:r>
      <w:r>
        <w:t>Daniel will look in to this. Ian said it was approved via 1983 site zoning. 1994 expansion application can be confusing.</w:t>
      </w:r>
    </w:p>
  </w:comment>
  <w:comment w:id="134" w:author="REDICK Daniel" w:date="2023-01-26T11:55:00Z" w:initials="RD">
    <w:p w14:paraId="0D045C07" w14:textId="77777777" w:rsidR="0007732C" w:rsidRDefault="0007732C" w:rsidP="006F646F">
      <w:pPr>
        <w:pStyle w:val="CommentText"/>
      </w:pPr>
      <w:r>
        <w:rPr>
          <w:rStyle w:val="CommentReference"/>
        </w:rPr>
        <w:annotationRef/>
      </w:r>
      <w:r>
        <w:t>Cell 6 development plans may still need to be approved by the Planning Official. Daniel is researching further.</w:t>
      </w:r>
    </w:p>
  </w:comment>
  <w:comment w:id="136" w:author="Rough, Ginger" w:date="2022-12-14T10:51:00Z" w:initials="RG">
    <w:p w14:paraId="55486975" w14:textId="77777777" w:rsidR="0007732C" w:rsidRDefault="0007732C" w:rsidP="006F646F">
      <w:pPr>
        <w:pStyle w:val="CommentText"/>
      </w:pPr>
      <w:r>
        <w:rPr>
          <w:rStyle w:val="CommentReference"/>
        </w:rPr>
        <w:annotationRef/>
      </w:r>
      <w:r>
        <w:t>Per Ian Macnab: Need clarity on where this number came from? “I can’t find anything regarding the 1995 number.  I only can find annual reports going back to 2003 and the annual reports only started listing total capacity in 2004.”</w:t>
      </w:r>
    </w:p>
  </w:comment>
  <w:comment w:id="137" w:author="REDICK Daniel" w:date="2023-01-10T13:38:00Z" w:initials="RD">
    <w:p w14:paraId="5602846B" w14:textId="77777777" w:rsidR="0007732C" w:rsidRDefault="0007732C" w:rsidP="006F646F">
      <w:pPr>
        <w:pStyle w:val="CommentText"/>
      </w:pPr>
      <w:r>
        <w:rPr>
          <w:rStyle w:val="CommentReference"/>
        </w:rPr>
        <w:annotationRef/>
      </w:r>
      <w:r>
        <w:t>This number came from a set SWAC minutes attached to the 1995 annual report (generated by Benton County Staff), where Valley Landfills included 18,000,000</w:t>
      </w:r>
      <w:r>
        <w:rPr>
          <w:b/>
          <w:bCs/>
        </w:rPr>
        <w:t xml:space="preserve"> tons </w:t>
      </w:r>
      <w:r>
        <w:t>as a line in a chart, referenced as total site capacity (not permitted/planned capacity).</w:t>
      </w:r>
    </w:p>
  </w:comment>
  <w:comment w:id="138" w:author="REDICK Daniel" w:date="2023-01-03T11:15:00Z" w:initials="RD">
    <w:p w14:paraId="5A03CCF7" w14:textId="77777777" w:rsidR="0007732C" w:rsidRDefault="0007732C" w:rsidP="006F646F">
      <w:pPr>
        <w:pStyle w:val="CommentText"/>
      </w:pPr>
      <w:r>
        <w:rPr>
          <w:rStyle w:val="CommentReference"/>
        </w:rPr>
        <w:annotationRef/>
      </w:r>
      <w:r>
        <w:t>Perhaps use anticipated closure dates over time</w:t>
      </w:r>
    </w:p>
  </w:comment>
  <w:comment w:id="139" w:author="Rough, Ginger" w:date="2022-12-14T10:50:00Z" w:initials="RG">
    <w:p w14:paraId="5EDAF526" w14:textId="77777777" w:rsidR="0007732C" w:rsidRDefault="0007732C" w:rsidP="006F646F">
      <w:pPr>
        <w:pStyle w:val="CommentText"/>
      </w:pPr>
      <w:r>
        <w:rPr>
          <w:rStyle w:val="CommentReference"/>
        </w:rPr>
        <w:annotationRef/>
      </w:r>
      <w:r>
        <w:t xml:space="preserve">We need to reconcile the numbers in this chart. The annual report in 2004 lists total capacity as 39,594,002.  </w:t>
      </w:r>
    </w:p>
  </w:comment>
  <w:comment w:id="144" w:author="Yeager, Mark [2]" w:date="2023-01-12T08:22:00Z" w:initials="YM">
    <w:p w14:paraId="10FB8F58" w14:textId="77777777" w:rsidR="006F646F" w:rsidRDefault="006F646F" w:rsidP="006F646F">
      <w:pPr>
        <w:pStyle w:val="CommentText"/>
      </w:pPr>
      <w:r>
        <w:rPr>
          <w:rStyle w:val="CommentReference"/>
        </w:rPr>
        <w:annotationRef/>
      </w:r>
      <w:r>
        <w:t>Not sure what this is intended to mean - they are and have been excavating the quarry for many years. What is different now?</w:t>
      </w:r>
    </w:p>
  </w:comment>
  <w:comment w:id="145" w:author="Rough, Ginger" w:date="2023-03-09T20:55:00Z" w:initials="RG">
    <w:p w14:paraId="1DB6E2F6" w14:textId="77777777" w:rsidR="006F646F" w:rsidRDefault="006F646F" w:rsidP="006F646F">
      <w:pPr>
        <w:pStyle w:val="CommentText"/>
      </w:pPr>
      <w:r>
        <w:rPr>
          <w:rStyle w:val="CommentReference"/>
        </w:rPr>
        <w:annotationRef/>
      </w:r>
      <w:r>
        <w:t>Mark – tried to address your question with this addition. Yes, Knife River is currently excavating the quarry. But we have to move rock a lot faster given the compressed schedule we’re under.</w:t>
      </w:r>
    </w:p>
  </w:comment>
  <w:comment w:id="149" w:author="REDICK Daniel" w:date="2023-01-17T11:14:00Z" w:initials="RD">
    <w:p w14:paraId="0C2DAF7E" w14:textId="77777777" w:rsidR="006F646F" w:rsidRDefault="006F646F" w:rsidP="006F646F">
      <w:pPr>
        <w:pStyle w:val="CommentText"/>
      </w:pPr>
      <w:r>
        <w:rPr>
          <w:rStyle w:val="CommentReference"/>
        </w:rPr>
        <w:annotationRef/>
      </w:r>
      <w:r>
        <w:t>Scale weight, tonnage may be better</w:t>
      </w:r>
    </w:p>
  </w:comment>
  <w:comment w:id="152" w:author="Ken Eklund" w:date="2023-01-25T10:44:00Z" w:initials="">
    <w:p w14:paraId="4FB22A1F" w14:textId="77777777" w:rsidR="006F646F" w:rsidRDefault="006F646F" w:rsidP="006F646F"/>
    <w:p w14:paraId="0106CDB1" w14:textId="77777777" w:rsidR="006F646F" w:rsidRDefault="006F646F" w:rsidP="006F646F">
      <w:r>
        <w:t xml:space="preserve">I think the text in this subsection lays out the similarities and differences between the two FA limits very well. </w:t>
      </w:r>
    </w:p>
  </w:comment>
  <w:comment w:id="153" w:author="REDICK Daniel" w:date="2023-02-03T15:43:00Z" w:initials="RD">
    <w:p w14:paraId="7D0DBE63" w14:textId="77777777" w:rsidR="006F646F" w:rsidRDefault="006F646F" w:rsidP="006F646F">
      <w:pPr>
        <w:pStyle w:val="CommentText"/>
      </w:pPr>
      <w:r>
        <w:rPr>
          <w:rStyle w:val="CommentReference"/>
        </w:rPr>
        <w:annotationRef/>
      </w:r>
      <w:r>
        <w:t>From Paul: I now agree the 2000 boundary was not stated as a limit per se, but it was clearly identified as a threshold, that, if exceeded, granted the county clear right to pursue specific remedies (launching a new Baseline assessment, reopening negotiations on the Franchise and/or Host fees if the County determined that the updated Baseline study indicated "adverse impact").</w:t>
      </w:r>
    </w:p>
  </w:comment>
  <w:comment w:id="154" w:author="REDICK Daniel" w:date="2023-02-03T15:43:00Z" w:initials="RD">
    <w:p w14:paraId="134DD9EC" w14:textId="77777777" w:rsidR="006F646F" w:rsidRDefault="006F646F" w:rsidP="006F646F">
      <w:pPr>
        <w:pStyle w:val="CommentText"/>
      </w:pPr>
      <w:r>
        <w:rPr>
          <w:rStyle w:val="CommentReference"/>
        </w:rPr>
        <w:annotationRef/>
      </w:r>
      <w:r>
        <w:t>From Paul: I believe the 2000 "threshold" was clearly exceeded in 2017-2019.</w:t>
      </w:r>
    </w:p>
    <w:p w14:paraId="2CADFECA" w14:textId="77777777" w:rsidR="006F646F" w:rsidRDefault="006F646F" w:rsidP="006F646F">
      <w:pPr>
        <w:pStyle w:val="CommentText"/>
      </w:pPr>
      <w:r>
        <w:t>I believe Benton County utilized none of the contractual remedies available to it as a result of these "exceedances."</w:t>
      </w:r>
    </w:p>
    <w:p w14:paraId="2A144CDF" w14:textId="77777777" w:rsidR="006F646F" w:rsidRDefault="006F646F" w:rsidP="006F646F">
      <w:pPr>
        <w:pStyle w:val="CommentText"/>
      </w:pPr>
      <w:r>
        <w:t>We agreed it is fair to note these concerns in Findings and Recommendations.</w:t>
      </w:r>
    </w:p>
    <w:p w14:paraId="67D5D768" w14:textId="77777777" w:rsidR="006F646F" w:rsidRDefault="006F646F" w:rsidP="006F646F">
      <w:pPr>
        <w:pStyle w:val="CommentText"/>
      </w:pPr>
    </w:p>
  </w:comment>
  <w:comment w:id="158" w:author="REDICK Daniel" w:date="2022-12-27T13:52:00Z" w:initials="RD">
    <w:p w14:paraId="11B5AD2A" w14:textId="77777777" w:rsidR="006F646F" w:rsidRDefault="006F646F" w:rsidP="006F646F">
      <w:pPr>
        <w:pStyle w:val="Default"/>
        <w:rPr>
          <w:rFonts w:ascii="Times New Roman" w:eastAsia="Arial Unicode MS" w:hAnsi="Times New Roman" w:cs="Times New Roman"/>
          <w:color w:val="auto"/>
          <w:sz w:val="20"/>
          <w:szCs w:val="20"/>
        </w:rPr>
      </w:pPr>
    </w:p>
    <w:p w14:paraId="01C0EBD2" w14:textId="77777777" w:rsidR="006F646F" w:rsidRDefault="006F646F" w:rsidP="006F646F">
      <w:pPr>
        <w:pStyle w:val="Default"/>
        <w:rPr>
          <w:rFonts w:ascii="Times New Roman" w:eastAsia="Arial Unicode MS" w:hAnsi="Times New Roman" w:cs="Times New Roman"/>
          <w:color w:val="auto"/>
          <w:sz w:val="20"/>
          <w:szCs w:val="20"/>
        </w:rPr>
      </w:pPr>
      <w:r>
        <w:t xml:space="preserve">The 2000 Franchise Agreement did not have a "limit", so the blue line is not accurate. </w:t>
      </w:r>
    </w:p>
    <w:p w14:paraId="6123764F" w14:textId="77777777" w:rsidR="006F646F" w:rsidRDefault="006F646F" w:rsidP="006F646F">
      <w:pPr>
        <w:pStyle w:val="Default"/>
        <w:rPr>
          <w:rFonts w:ascii="Times New Roman" w:eastAsia="Arial Unicode MS" w:hAnsi="Times New Roman" w:cs="Times New Roman"/>
          <w:color w:val="auto"/>
          <w:sz w:val="20"/>
          <w:szCs w:val="20"/>
        </w:rPr>
      </w:pPr>
    </w:p>
    <w:p w14:paraId="287E962F" w14:textId="77777777" w:rsidR="006F646F" w:rsidRDefault="006F646F" w:rsidP="006F646F">
      <w:pPr>
        <w:pStyle w:val="Default"/>
        <w:rPr>
          <w:rFonts w:ascii="Times New Roman" w:eastAsia="Arial Unicode MS" w:hAnsi="Times New Roman" w:cs="Times New Roman"/>
          <w:color w:val="auto"/>
          <w:sz w:val="20"/>
          <w:szCs w:val="20"/>
        </w:rPr>
      </w:pPr>
      <w:r>
        <w:t>This annual tonnage does not match the data from the landfill annual reports for many of the years, so I recommend using the landfill annual report data for consistency (as shown in the suggested chart below).</w:t>
      </w:r>
    </w:p>
    <w:p w14:paraId="1B545F9E" w14:textId="77777777" w:rsidR="006F646F" w:rsidRDefault="006F646F" w:rsidP="006F646F">
      <w:pPr>
        <w:pStyle w:val="Default"/>
        <w:rPr>
          <w:rFonts w:ascii="Times New Roman" w:eastAsia="Arial Unicode MS" w:hAnsi="Times New Roman" w:cs="Times New Roman"/>
          <w:color w:val="auto"/>
          <w:sz w:val="20"/>
          <w:szCs w:val="20"/>
        </w:rPr>
      </w:pPr>
    </w:p>
    <w:p w14:paraId="0EE50260" w14:textId="77777777" w:rsidR="006F646F" w:rsidRDefault="006F646F" w:rsidP="006F646F">
      <w:pPr>
        <w:pStyle w:val="Default"/>
        <w:rPr>
          <w:rFonts w:ascii="Times New Roman" w:eastAsia="Arial Unicode MS" w:hAnsi="Times New Roman" w:cs="Times New Roman"/>
          <w:color w:val="auto"/>
          <w:sz w:val="20"/>
          <w:szCs w:val="20"/>
        </w:rPr>
      </w:pPr>
      <w:r>
        <w:t>"Intake Volume" may be misleading for this chart, as tonnage and volume are distinct concepts with landfill operations. I recommend a label like "Annual Tons Accepted" for clarity.</w:t>
      </w:r>
    </w:p>
  </w:comment>
  <w:comment w:id="159" w:author="Ken Eklund" w:date="2023-01-09T20:59:00Z" w:initials="KE">
    <w:p w14:paraId="0298C56A" w14:textId="77777777" w:rsidR="006F646F" w:rsidRDefault="006F646F" w:rsidP="006F646F">
      <w:pPr>
        <w:pStyle w:val="Default"/>
        <w:rPr>
          <w:rFonts w:ascii="Times New Roman" w:eastAsia="Arial Unicode MS" w:hAnsi="Times New Roman" w:cs="Times New Roman"/>
          <w:color w:val="auto"/>
          <w:sz w:val="20"/>
          <w:szCs w:val="20"/>
        </w:rPr>
      </w:pPr>
    </w:p>
    <w:p w14:paraId="39DA3140" w14:textId="77777777" w:rsidR="006F646F" w:rsidRDefault="006F646F" w:rsidP="006F646F">
      <w:pPr>
        <w:pStyle w:val="Default"/>
        <w:rPr>
          <w:rFonts w:ascii="Times New Roman" w:eastAsia="Arial Unicode MS" w:hAnsi="Times New Roman" w:cs="Times New Roman"/>
          <w:color w:val="auto"/>
          <w:sz w:val="20"/>
          <w:szCs w:val="20"/>
        </w:rPr>
      </w:pPr>
      <w:r>
        <w:t>From our conversations, the issue with the 2000 FA line and the 2020 FA line is that they both are characterized by the word “limit,” but what they limit are each different. Perhaps the best resolution for this is to use the word “cap” instead of limit for the label on the 2020 FA line, since that is the word actually used in that Agreement.</w:t>
      </w:r>
    </w:p>
  </w:comment>
  <w:comment w:id="160" w:author="REDICK Daniel" w:date="2023-01-11T16:11:00Z" w:initials="RD">
    <w:p w14:paraId="02A03182" w14:textId="77777777" w:rsidR="006F646F" w:rsidRDefault="006F646F" w:rsidP="006F646F">
      <w:pPr>
        <w:pStyle w:val="CommentText"/>
      </w:pPr>
      <w:r>
        <w:rPr>
          <w:rStyle w:val="CommentReference"/>
        </w:rPr>
        <w:annotationRef/>
      </w:r>
      <w:r>
        <w:t>I understand the issue to be the confusion caused by word choice, which is not clarified through replacing "limit" with "cap", which will generally mean the same thing to most readers. Providing more detail in these titles will help provide clarification, perhaps using titles like  “Threshold to update Baseline Study” to replace "2000 FA limit".</w:t>
      </w:r>
    </w:p>
  </w:comment>
  <w:comment w:id="161" w:author="REDICK Daniel" w:date="2022-12-27T13:52:00Z" w:initials="RD">
    <w:p w14:paraId="5697F6C2" w14:textId="77777777" w:rsidR="006F646F" w:rsidRDefault="006F646F" w:rsidP="006F646F">
      <w:pPr>
        <w:pStyle w:val="CommentText"/>
      </w:pPr>
      <w:r>
        <w:rPr>
          <w:rStyle w:val="CommentReference"/>
        </w:rPr>
        <w:annotationRef/>
      </w:r>
      <w:r>
        <w:t xml:space="preserve">The 2000 Franchise Agreement did not have a "limit", so the blue line is not accurate. </w:t>
      </w:r>
    </w:p>
    <w:p w14:paraId="1EE2429A" w14:textId="77777777" w:rsidR="006F646F" w:rsidRDefault="006F646F" w:rsidP="006F646F">
      <w:pPr>
        <w:pStyle w:val="CommentText"/>
      </w:pPr>
    </w:p>
    <w:p w14:paraId="6921DB6B" w14:textId="77777777" w:rsidR="006F646F" w:rsidRDefault="006F646F" w:rsidP="006F646F">
      <w:pPr>
        <w:pStyle w:val="CommentText"/>
      </w:pPr>
      <w:r>
        <w:t>This annual tonnage does not match the data from the landfill annual reports for many of the years, so I recommend using the landfill annual report data for consistency (as shown in the suggested chart below).</w:t>
      </w:r>
    </w:p>
    <w:p w14:paraId="52EB9108" w14:textId="77777777" w:rsidR="006F646F" w:rsidRDefault="006F646F" w:rsidP="006F646F">
      <w:pPr>
        <w:pStyle w:val="CommentText"/>
      </w:pPr>
    </w:p>
    <w:p w14:paraId="3227AEBB" w14:textId="77777777" w:rsidR="006F646F" w:rsidRDefault="006F646F" w:rsidP="006F646F">
      <w:pPr>
        <w:pStyle w:val="CommentText"/>
      </w:pPr>
      <w:r>
        <w:t>"Intake Volume" may be misleading for this chart, as tonnage and volume are distinct concepts with landfill operations. I recommend a label like "Annual Tons Accepted" for clarity.</w:t>
      </w:r>
    </w:p>
  </w:comment>
  <w:comment w:id="162" w:author="REDICK Daniel" w:date="2023-01-10T13:55:00Z" w:initials="RD">
    <w:p w14:paraId="37671912" w14:textId="77777777" w:rsidR="006F646F" w:rsidRDefault="006F646F" w:rsidP="006F646F">
      <w:pPr>
        <w:pStyle w:val="CommentText"/>
      </w:pPr>
      <w:r>
        <w:rPr>
          <w:rStyle w:val="CommentReference"/>
        </w:rPr>
        <w:annotationRef/>
      </w:r>
      <w:r>
        <w:t>Daniel, Paul, and Mark are working on options for rewording the legend. Paul and Daniel verified annual tonnage data, based on data in the tonnage charts of landfill annual reports (instead of the narrative). Paul used 2% annual increases in the 2000 FA reference line, as that was larger than population growth.</w:t>
      </w:r>
    </w:p>
  </w:comment>
  <w:comment w:id="166" w:author="Ken Eklund" w:date="2023-01-09T21:07:00Z" w:initials="KE">
    <w:p w14:paraId="093998EA" w14:textId="77777777" w:rsidR="006F646F" w:rsidRDefault="006F646F" w:rsidP="006F646F">
      <w:pPr>
        <w:pStyle w:val="Default"/>
        <w:rPr>
          <w:rFonts w:ascii="Times New Roman" w:eastAsia="Arial Unicode MS" w:hAnsi="Times New Roman" w:cs="Times New Roman"/>
          <w:color w:val="auto"/>
          <w:sz w:val="20"/>
          <w:szCs w:val="20"/>
        </w:rPr>
      </w:pPr>
    </w:p>
    <w:p w14:paraId="01AC0687" w14:textId="77777777" w:rsidR="006F646F" w:rsidRDefault="006F646F" w:rsidP="006F646F">
      <w:pPr>
        <w:pStyle w:val="Default"/>
        <w:rPr>
          <w:rFonts w:ascii="Times New Roman" w:eastAsia="Arial Unicode MS" w:hAnsi="Times New Roman" w:cs="Times New Roman"/>
          <w:color w:val="auto"/>
          <w:sz w:val="20"/>
          <w:szCs w:val="20"/>
        </w:rPr>
      </w:pPr>
      <w:r>
        <w:t xml:space="preserve">This is not an accurate characterization of what happened. Riverbend Landfill attempted to expand but could not, so it closed as scheduled. </w:t>
      </w:r>
    </w:p>
  </w:comment>
  <w:comment w:id="167" w:author="Paul Nietfeld" w:date="2023-01-11T10:37:00Z" w:initials="PN">
    <w:p w14:paraId="3F832164" w14:textId="77777777" w:rsidR="006F646F" w:rsidRDefault="006F646F" w:rsidP="006F646F">
      <w:pPr>
        <w:pStyle w:val="CommentText"/>
      </w:pPr>
      <w:r>
        <w:rPr>
          <w:rStyle w:val="CommentReference"/>
        </w:rPr>
        <w:annotationRef/>
      </w:r>
      <w:r>
        <w:t>As Ed Pitera pointed out in the 15Dec2022 Workgroup meeting, this MOU was an “acknowledgement” of expected 1-2 year intake increase, rather than an “agreement.”</w:t>
      </w:r>
    </w:p>
    <w:p w14:paraId="24A4C396" w14:textId="77777777" w:rsidR="006F646F" w:rsidRDefault="006F646F" w:rsidP="006F646F">
      <w:pPr>
        <w:pStyle w:val="CommentText"/>
      </w:pPr>
    </w:p>
  </w:comment>
  <w:comment w:id="168" w:author="Yeager, Mark [2]" w:date="2023-01-12T17:03:00Z" w:initials="YM">
    <w:p w14:paraId="5FF01C32" w14:textId="77777777" w:rsidR="006F646F" w:rsidRDefault="006F646F" w:rsidP="006F646F">
      <w:pPr>
        <w:pStyle w:val="CommentText"/>
      </w:pPr>
      <w:r>
        <w:rPr>
          <w:rStyle w:val="CommentReference"/>
        </w:rPr>
        <w:annotationRef/>
      </w:r>
      <w:r>
        <w:t>Has anyone looked closely at the numbers to actually determine how much of the increased volume was due to redirected waste flow from Riverbend closure and how much was due to Republic's efforts to develop new customers and contracts to haul waste to Coffin Butte? I am not sure that it is accurate to assign all the increased tonnage to Riverbend closure.</w:t>
      </w:r>
    </w:p>
  </w:comment>
  <w:comment w:id="169" w:author="Rough, Ginger" w:date="2022-12-14T11:02:00Z" w:initials="RG">
    <w:p w14:paraId="197687AD" w14:textId="77777777" w:rsidR="006F646F" w:rsidRDefault="006F646F" w:rsidP="006F646F">
      <w:pPr>
        <w:pStyle w:val="CommentText"/>
      </w:pPr>
      <w:r>
        <w:rPr>
          <w:rStyle w:val="CommentReference"/>
        </w:rPr>
        <w:annotationRef/>
      </w:r>
      <w:r>
        <w:t xml:space="preserve">2017-2019 volume increases are primarily due to the diversion of waste from Riverbend Landfill, in an effort to extend landfill life, and also rapid population growth in Willamette Valley and Western Oregon. </w:t>
      </w:r>
    </w:p>
  </w:comment>
  <w:comment w:id="170" w:author="REDICK Daniel" w:date="2023-01-10T16:47:00Z" w:initials="RD">
    <w:p w14:paraId="733FC5B2" w14:textId="77777777" w:rsidR="006F646F" w:rsidRDefault="006F646F" w:rsidP="006F646F">
      <w:pPr>
        <w:pStyle w:val="CommentText"/>
      </w:pPr>
      <w:r>
        <w:rPr>
          <w:rStyle w:val="CommentReference"/>
        </w:rPr>
        <w:annotationRef/>
      </w:r>
      <w:r>
        <w:t>Added</w:t>
      </w:r>
    </w:p>
  </w:comment>
  <w:comment w:id="171" w:author="Yeager, Mark [2]" w:date="2023-01-12T17:05:00Z" w:initials="YM">
    <w:p w14:paraId="670CF1B4" w14:textId="77777777" w:rsidR="006F646F" w:rsidRDefault="006F646F" w:rsidP="006F646F">
      <w:pPr>
        <w:pStyle w:val="CommentText"/>
      </w:pPr>
      <w:r>
        <w:rPr>
          <w:rStyle w:val="CommentReference"/>
        </w:rPr>
        <w:annotationRef/>
      </w:r>
      <w:r>
        <w:t>Some reference to additional Republic's efforts to broaden their landfill customer base needs to be included here.</w:t>
      </w:r>
    </w:p>
  </w:comment>
  <w:comment w:id="172" w:author="Rough, Ginger" w:date="2023-03-09T21:00:00Z" w:initials="RG">
    <w:p w14:paraId="76A17369" w14:textId="77777777" w:rsidR="006F646F" w:rsidRDefault="006F646F" w:rsidP="006F646F">
      <w:pPr>
        <w:pStyle w:val="CommentText"/>
      </w:pPr>
      <w:r>
        <w:rPr>
          <w:rStyle w:val="CommentReference"/>
        </w:rPr>
        <w:annotationRef/>
      </w:r>
      <w:r>
        <w:t>Adjusted language to try to address Mark’s concern.</w:t>
      </w:r>
    </w:p>
  </w:comment>
  <w:comment w:id="173" w:author="Paul Nietfeld" w:date="2023-01-23T09:19:00Z" w:initials="PN">
    <w:p w14:paraId="58038E5B" w14:textId="77777777" w:rsidR="006F646F" w:rsidRDefault="006F646F" w:rsidP="006F646F">
      <w:pPr>
        <w:pStyle w:val="CommentText"/>
      </w:pPr>
      <w:r>
        <w:rPr>
          <w:rStyle w:val="CommentReference"/>
        </w:rPr>
        <w:annotationRef/>
      </w:r>
      <w:r>
        <w:t>Added detail on actual population increase.</w:t>
      </w:r>
    </w:p>
  </w:comment>
  <w:comment w:id="174" w:author="Ken Eklund" w:date="2023-01-09T21:23:00Z" w:initials="KE">
    <w:p w14:paraId="1B792868" w14:textId="77777777" w:rsidR="006F646F" w:rsidRDefault="006F646F" w:rsidP="006F646F">
      <w:pPr>
        <w:pStyle w:val="Default"/>
        <w:rPr>
          <w:rFonts w:ascii="Times New Roman" w:eastAsia="Arial Unicode MS" w:hAnsi="Times New Roman" w:cs="Times New Roman"/>
          <w:color w:val="auto"/>
          <w:sz w:val="20"/>
          <w:szCs w:val="20"/>
        </w:rPr>
      </w:pPr>
    </w:p>
    <w:p w14:paraId="120FCE1D" w14:textId="77777777" w:rsidR="006F646F" w:rsidRDefault="006F646F" w:rsidP="006F646F">
      <w:pPr>
        <w:pStyle w:val="Default"/>
        <w:rPr>
          <w:rFonts w:ascii="Times New Roman" w:eastAsia="Arial Unicode MS" w:hAnsi="Times New Roman" w:cs="Times New Roman"/>
          <w:color w:val="auto"/>
          <w:sz w:val="20"/>
          <w:szCs w:val="20"/>
        </w:rPr>
      </w:pPr>
      <w:r>
        <w:t>It is unclear to me how the crash of 2008 can be responsible for a downturn that began in 2006. Let’s look at other explanations, such as the rise of environmental awareness that played a key role in the 2008 election.</w:t>
      </w:r>
    </w:p>
    <w:p w14:paraId="0362E816" w14:textId="77777777" w:rsidR="006F646F" w:rsidRDefault="006F646F" w:rsidP="006F646F">
      <w:pPr>
        <w:pStyle w:val="Default"/>
        <w:rPr>
          <w:rFonts w:ascii="Times New Roman" w:eastAsia="Arial Unicode MS" w:hAnsi="Times New Roman" w:cs="Times New Roman"/>
          <w:color w:val="auto"/>
          <w:sz w:val="20"/>
          <w:szCs w:val="20"/>
        </w:rPr>
      </w:pPr>
    </w:p>
  </w:comment>
  <w:comment w:id="175" w:author="Rough, Ginger" w:date="2022-12-14T11:03:00Z" w:initials="RG">
    <w:p w14:paraId="046E344A" w14:textId="77777777" w:rsidR="006F646F" w:rsidRDefault="006F646F" w:rsidP="006F646F">
      <w:pPr>
        <w:pStyle w:val="CommentText"/>
      </w:pPr>
      <w:r>
        <w:rPr>
          <w:rStyle w:val="CommentReference"/>
        </w:rPr>
        <w:annotationRef/>
      </w:r>
      <w:r>
        <w:t xml:space="preserve">There’s a typo here (should the first part of this sentence be 2007-2012, or should the second part of the sentence be 2018? </w:t>
      </w:r>
      <w:r>
        <w:br/>
      </w:r>
      <w:r>
        <w:br/>
        <w:t xml:space="preserve">We CAN say that: The drop in volumes to Coffin Butte in 2020 is due to the global COVID-19 pandemic, coupled with diversion of tonnage from Riverbend Landfill to other landfills besides Coffin Butte. However, tonnage volumes increased again in 2021 due in part to changes in lifestyle/development/at home shopping patterns as a result  of the pandemic, as well as debris from the Oregon wildfires. </w:t>
      </w:r>
    </w:p>
    <w:p w14:paraId="12D8B960" w14:textId="77777777" w:rsidR="006F646F" w:rsidRDefault="006F646F" w:rsidP="006F646F">
      <w:pPr>
        <w:pStyle w:val="CommentText"/>
      </w:pPr>
    </w:p>
  </w:comment>
  <w:comment w:id="176" w:author="REDICK Daniel" w:date="2023-01-10T16:49:00Z" w:initials="RD">
    <w:p w14:paraId="1F4C5E16" w14:textId="77777777" w:rsidR="006F646F" w:rsidRDefault="006F646F" w:rsidP="006F646F">
      <w:pPr>
        <w:pStyle w:val="CommentText"/>
      </w:pPr>
      <w:r>
        <w:rPr>
          <w:rStyle w:val="CommentReference"/>
        </w:rPr>
        <w:annotationRef/>
      </w:r>
      <w:r>
        <w:t>Updated to 2006-2010.</w:t>
      </w:r>
    </w:p>
  </w:comment>
  <w:comment w:id="177" w:author="REDICK Daniel" w:date="2023-01-10T16:50:00Z" w:initials="RD">
    <w:p w14:paraId="4FC22D09" w14:textId="77777777" w:rsidR="006F646F" w:rsidRDefault="006F646F" w:rsidP="006F646F">
      <w:pPr>
        <w:pStyle w:val="CommentText"/>
      </w:pPr>
      <w:r>
        <w:rPr>
          <w:rStyle w:val="CommentReference"/>
        </w:rPr>
        <w:annotationRef/>
      </w:r>
      <w:r>
        <w:t>Added detail to #7, with a strikethrough on previous text.</w:t>
      </w:r>
    </w:p>
  </w:comment>
  <w:comment w:id="178" w:author="Yeager, Mark [2]" w:date="2023-01-12T17:16:00Z" w:initials="YM">
    <w:p w14:paraId="67469134" w14:textId="77777777" w:rsidR="006F646F" w:rsidRDefault="006F646F" w:rsidP="006F646F">
      <w:pPr>
        <w:pStyle w:val="CommentText"/>
      </w:pPr>
      <w:r>
        <w:rPr>
          <w:rStyle w:val="CommentReference"/>
        </w:rPr>
        <w:annotationRef/>
      </w:r>
      <w:r>
        <w:t xml:space="preserve">In addition, Republic Services has been expanding their landfill customer base and, as a result, more waste is being transported to Coffin Butte. </w:t>
      </w:r>
    </w:p>
  </w:comment>
  <w:comment w:id="179" w:author="Rough, Ginger" w:date="2023-03-09T21:01:00Z" w:initials="RG">
    <w:p w14:paraId="193D570D" w14:textId="77777777" w:rsidR="006F646F" w:rsidRDefault="006F646F" w:rsidP="006F646F">
      <w:pPr>
        <w:pStyle w:val="CommentText"/>
      </w:pPr>
      <w:r>
        <w:rPr>
          <w:rStyle w:val="CommentReference"/>
        </w:rPr>
        <w:annotationRef/>
      </w:r>
      <w:r>
        <w:t xml:space="preserve">Hey Mark – Same comment I made earlier in the doc, in the findings section. I think we adequately address the business aspect in this report and in the findings. </w:t>
      </w:r>
    </w:p>
    <w:p w14:paraId="61415B6C" w14:textId="77777777" w:rsidR="006F646F" w:rsidRDefault="006F646F" w:rsidP="006F646F">
      <w:pPr>
        <w:pStyle w:val="CommentText"/>
      </w:pPr>
    </w:p>
  </w:comment>
  <w:comment w:id="180" w:author="REDICK Daniel" w:date="2023-01-23T16:47:00Z" w:initials="RD">
    <w:p w14:paraId="47852AA6" w14:textId="77777777" w:rsidR="006F646F" w:rsidRDefault="006F646F" w:rsidP="006F646F">
      <w:pPr>
        <w:pStyle w:val="CommentText"/>
      </w:pPr>
      <w:r>
        <w:rPr>
          <w:rStyle w:val="CommentReference"/>
        </w:rPr>
        <w:annotationRef/>
      </w:r>
      <w:r>
        <w:t>This calculation, and source material should be referenced in its own appendix. Paul, can you please put that together?</w:t>
      </w:r>
    </w:p>
  </w:comment>
  <w:comment w:id="191" w:author="Paul Nietfeld" w:date="2023-01-09T08:45:00Z" w:initials="PN">
    <w:p w14:paraId="5F9C817B" w14:textId="77777777" w:rsidR="006F646F" w:rsidRDefault="006F646F" w:rsidP="006F646F">
      <w:pPr>
        <w:pStyle w:val="CommentText"/>
      </w:pPr>
      <w:r>
        <w:rPr>
          <w:rStyle w:val="CommentReference"/>
        </w:rPr>
        <w:annotationRef/>
      </w:r>
      <w:r>
        <w:t>This is the chart supplied by Ian M. on 11Nov2022.  I have requested cell closure dates (Nietfeld email of 7Jan2023 to Ian M., Ginger R., Bill B.)</w:t>
      </w:r>
    </w:p>
  </w:comment>
  <w:comment w:id="192" w:author="REDICK Daniel" w:date="2023-01-17T11:31:00Z" w:initials="RD">
    <w:p w14:paraId="12203E7A" w14:textId="77777777" w:rsidR="006F646F" w:rsidRDefault="006F646F" w:rsidP="006F646F">
      <w:pPr>
        <w:pStyle w:val="CommentText"/>
      </w:pPr>
      <w:r>
        <w:rPr>
          <w:rStyle w:val="CommentReference"/>
        </w:rPr>
        <w:annotationRef/>
      </w:r>
      <w:r>
        <w:t>Closure dates can be complicated. Burn dump no longer has closure date due to move to Cell 6. Final Cap might be better terminology. Only Cell 1 and 1A has been fully closed (in the 1990s). Final cap areas that exist might only be for part of the cell, because they are tied to other cells (2, 2b, cell areas along Coffin Butte Road). Request for Ian/Ginger to add verbiage.</w:t>
      </w:r>
    </w:p>
  </w:comment>
  <w:comment w:id="195" w:author="Rough, Ginger" w:date="2022-12-14T11:18:00Z" w:initials="RG">
    <w:p w14:paraId="7A098C48" w14:textId="77777777" w:rsidR="006F646F" w:rsidRDefault="006F646F" w:rsidP="006F646F">
      <w:pPr>
        <w:pStyle w:val="CommentText"/>
      </w:pPr>
      <w:r>
        <w:rPr>
          <w:rStyle w:val="CommentReference"/>
        </w:rPr>
        <w:annotationRef/>
      </w:r>
      <w:r>
        <w:t>The acreage on the south side of Coffin Butte Road can be permitted for waste disposal if a CUP is obtained from Benton County.</w:t>
      </w:r>
    </w:p>
  </w:comment>
  <w:comment w:id="201" w:author="REDICK Daniel" w:date="2023-02-02T16:08:00Z" w:initials="RD">
    <w:p w14:paraId="5B57AEAD" w14:textId="77777777" w:rsidR="006F646F" w:rsidRDefault="006F646F" w:rsidP="006F646F">
      <w:pPr>
        <w:pStyle w:val="CommentText"/>
      </w:pPr>
      <w:r>
        <w:rPr>
          <w:rStyle w:val="CommentReference"/>
        </w:rPr>
        <w:annotationRef/>
      </w:r>
      <w:r>
        <w:t>Comment from Chuck in response to Paul's comments: it would be good to have the legal sub-committee weigh in, since the 1983 rezoning appears to imply that a conditional land use action was made, but it also appears  no landfill  permit was granted by DEQ.</w:t>
      </w:r>
    </w:p>
    <w:p w14:paraId="4DD4FAE3" w14:textId="77777777" w:rsidR="006F646F" w:rsidRDefault="006F646F" w:rsidP="006F646F">
      <w:pPr>
        <w:pStyle w:val="CommentText"/>
      </w:pPr>
    </w:p>
    <w:p w14:paraId="7EA9C0B6" w14:textId="77777777" w:rsidR="006F646F" w:rsidRDefault="006F646F" w:rsidP="006F646F">
      <w:pPr>
        <w:pStyle w:val="CommentText"/>
      </w:pPr>
      <w:r>
        <w:t>Therefore if true, would the land action default the land then to the Coffin Butte Disposal Site instead?  </w:t>
      </w:r>
    </w:p>
  </w:comment>
  <w:comment w:id="202" w:author="Rough, Ginger" w:date="2022-12-14T11:18:00Z" w:initials="RG">
    <w:p w14:paraId="5152F5AF" w14:textId="77777777" w:rsidR="006F646F" w:rsidRDefault="006F646F" w:rsidP="006F646F">
      <w:pPr>
        <w:pStyle w:val="CommentText"/>
      </w:pPr>
      <w:r>
        <w:rPr>
          <w:rStyle w:val="CommentReference"/>
        </w:rPr>
        <w:annotationRef/>
      </w:r>
      <w:r>
        <w:t>The acreage on the south side of Coffin Butte Road can be permitted for waste disposal if a CUP is obtained from Benton County.</w:t>
      </w:r>
    </w:p>
  </w:comment>
  <w:comment w:id="203" w:author="REDICK Daniel" w:date="2023-01-10T16:51:00Z" w:initials="RD">
    <w:p w14:paraId="76A8263E" w14:textId="77777777" w:rsidR="006F646F" w:rsidRDefault="006F646F" w:rsidP="006F646F">
      <w:pPr>
        <w:pStyle w:val="CommentText"/>
      </w:pPr>
      <w:r>
        <w:rPr>
          <w:rStyle w:val="CommentReference"/>
        </w:rPr>
        <w:annotationRef/>
      </w:r>
      <w:r>
        <w:t>Added</w:t>
      </w:r>
    </w:p>
  </w:comment>
  <w:comment w:id="212" w:author="Paul Nietfeld" w:date="2023-01-11T20:40:00Z" w:initials="PN">
    <w:p w14:paraId="2BD01967" w14:textId="77777777" w:rsidR="006F646F" w:rsidRPr="00191064" w:rsidRDefault="006F646F" w:rsidP="006F646F">
      <w:pPr>
        <w:pStyle w:val="CommentText"/>
        <w:rPr>
          <w:color w:val="FF0000"/>
        </w:rPr>
      </w:pPr>
      <w:r>
        <w:rPr>
          <w:rStyle w:val="CommentReference"/>
        </w:rPr>
        <w:annotationRef/>
      </w:r>
      <w:r w:rsidRPr="00191064">
        <w:rPr>
          <w:color w:val="FF0000"/>
        </w:rPr>
        <w:t>Daniel:  Is the Staff Report that is included in PC-83-07 (pages 11-30) the official, final released version?</w:t>
      </w:r>
    </w:p>
  </w:comment>
  <w:comment w:id="213" w:author="REDICK Daniel" w:date="2023-01-24T15:29:00Z" w:initials="RD">
    <w:p w14:paraId="696B4813" w14:textId="77777777" w:rsidR="006F646F" w:rsidRDefault="006F646F" w:rsidP="006F646F">
      <w:pPr>
        <w:pStyle w:val="CommentText"/>
      </w:pPr>
      <w:r>
        <w:rPr>
          <w:rStyle w:val="CommentReference"/>
        </w:rPr>
        <w:annotationRef/>
      </w:r>
      <w:r>
        <w:t>I believe so.</w:t>
      </w:r>
    </w:p>
  </w:comment>
  <w:comment w:id="214" w:author="REDICK Daniel" w:date="2023-01-24T14:08:00Z" w:initials="RD">
    <w:p w14:paraId="53B901EE" w14:textId="77777777" w:rsidR="006F646F" w:rsidRDefault="006F646F" w:rsidP="006F646F">
      <w:pPr>
        <w:pStyle w:val="CommentText"/>
      </w:pPr>
      <w:r>
        <w:rPr>
          <w:rStyle w:val="CommentReference"/>
        </w:rPr>
        <w:annotationRef/>
      </w:r>
      <w:r>
        <w:t xml:space="preserve">These are recommendations only, those bodies to not provide "approvals" </w:t>
      </w:r>
    </w:p>
  </w:comment>
  <w:comment w:id="215" w:author="REDICK Daniel" w:date="2023-02-02T13:25:00Z" w:initials="RD">
    <w:p w14:paraId="7B8BD90E" w14:textId="77777777" w:rsidR="006F646F" w:rsidRDefault="006F646F" w:rsidP="006F646F">
      <w:pPr>
        <w:pStyle w:val="CommentText"/>
      </w:pPr>
      <w:r>
        <w:rPr>
          <w:rStyle w:val="CommentReference"/>
        </w:rPr>
        <w:annotationRef/>
      </w:r>
      <w:r>
        <w:t xml:space="preserve">Added at request of Paul to replace the deleted section above: </w:t>
      </w:r>
      <w:r>
        <w:rPr>
          <w:color w:val="0000FF"/>
        </w:rPr>
        <w:t>The approval of both SWAC and CAC for the 1983 rezoning action was conditioned on the agreement that no landfill would be allowed on the parcel south of Coffin Butte Road.</w:t>
      </w:r>
    </w:p>
    <w:p w14:paraId="3F12E6DF" w14:textId="77777777" w:rsidR="006F646F" w:rsidRDefault="006F646F" w:rsidP="006F646F">
      <w:pPr>
        <w:pStyle w:val="CommentText"/>
      </w:pPr>
      <w:r>
        <w:rPr>
          <w:color w:val="0000FF"/>
        </w:rPr>
        <w:t>Additionally, per the Board of Commissioners Order of June 15, 1983, approval of additional landfill activities on the LS-zoned parcel south of Coffin Butte Road (</w:t>
      </w:r>
      <w:r>
        <w:rPr>
          <w:color w:val="0000FF"/>
          <w:lang w:val="de-DE"/>
        </w:rPr>
        <w:t>Taxlot</w:t>
      </w:r>
      <w:r>
        <w:rPr>
          <w:color w:val="0000FF"/>
        </w:rPr>
        <w:t xml:space="preserve"> 104180001107</w:t>
      </w:r>
      <w:r>
        <w:rPr>
          <w:color w:val="0000FF"/>
          <w:lang w:val="de-DE"/>
        </w:rPr>
        <w:t xml:space="preserve">, Index #14 in Appendix C) </w:t>
      </w:r>
      <w:r>
        <w:rPr>
          <w:color w:val="0000FF"/>
        </w:rPr>
        <w:t>requires only 1) approval of the site plan by the Planning Commission and 2) approval by the Planning Commission at a public hearing.</w:t>
      </w:r>
    </w:p>
  </w:comment>
  <w:comment w:id="220" w:author="REDICK Daniel" w:date="2023-02-02T13:29:00Z" w:initials="RD">
    <w:p w14:paraId="532FCB5B" w14:textId="77777777" w:rsidR="006F646F" w:rsidRDefault="006F646F" w:rsidP="006F646F">
      <w:pPr>
        <w:pStyle w:val="CommentText"/>
      </w:pPr>
      <w:r>
        <w:rPr>
          <w:rStyle w:val="CommentReference"/>
        </w:rPr>
        <w:annotationRef/>
      </w:r>
      <w:r>
        <w:t>Addition from Ken Eklund</w:t>
      </w:r>
    </w:p>
  </w:comment>
  <w:comment w:id="221" w:author="REDICK Daniel" w:date="2023-02-09T16:43:00Z" w:initials="RD">
    <w:p w14:paraId="6B9953CC" w14:textId="77777777" w:rsidR="006F646F" w:rsidRDefault="006F646F" w:rsidP="006F646F">
      <w:pPr>
        <w:pStyle w:val="CommentText"/>
      </w:pPr>
      <w:r>
        <w:rPr>
          <w:rStyle w:val="CommentReference"/>
        </w:rPr>
        <w:annotationRef/>
      </w:r>
      <w:r>
        <w:t>From Ginger</w:t>
      </w:r>
    </w:p>
  </w:comment>
  <w:comment w:id="224" w:author="REDICK Daniel" w:date="2023-02-02T13:37:00Z" w:initials="RD">
    <w:p w14:paraId="7430AEF8" w14:textId="77777777" w:rsidR="006F646F" w:rsidRDefault="006F646F" w:rsidP="006F646F">
      <w:pPr>
        <w:pStyle w:val="CommentText"/>
      </w:pPr>
      <w:r>
        <w:rPr>
          <w:rStyle w:val="CommentReference"/>
        </w:rPr>
        <w:annotationRef/>
      </w:r>
      <w:r>
        <w:t>We already have modern data for reported site life from Landfill annual reports, which I recommend using instead of EPA data for consistency with the rest of the document. This table should probably focus on adding historical data points prior to that available in the landfill annual reports.</w:t>
      </w:r>
    </w:p>
  </w:comment>
  <w:comment w:id="225" w:author="Ken Eklund" w:date="2023-01-23T11:03:00Z" w:initials="">
    <w:p w14:paraId="0AB555A9" w14:textId="77777777" w:rsidR="006F646F" w:rsidRDefault="006F646F" w:rsidP="006F646F">
      <w:pPr>
        <w:pStyle w:val="Default"/>
      </w:pPr>
    </w:p>
    <w:p w14:paraId="69A3E7B8" w14:textId="77777777" w:rsidR="006F646F" w:rsidRDefault="006F646F" w:rsidP="006F646F">
      <w:pPr>
        <w:pStyle w:val="Default"/>
      </w:pPr>
      <w:r>
        <w:rPr>
          <w:rFonts w:eastAsia="Arial Unicode MS" w:cs="Arial Unicode MS"/>
        </w:rPr>
        <w:t>I remember seeing reference to an earlier report which gave the landfill EOL as the year 2000.</w:t>
      </w:r>
    </w:p>
  </w:comment>
  <w:comment w:id="226" w:author="REDICK Daniel" w:date="2023-02-08T10:04:00Z" w:initials="RD">
    <w:p w14:paraId="4FFD67F1" w14:textId="77777777" w:rsidR="006F646F" w:rsidRDefault="006F646F" w:rsidP="006F646F">
      <w:pPr>
        <w:pStyle w:val="CommentText"/>
      </w:pPr>
      <w:r>
        <w:rPr>
          <w:rStyle w:val="CommentReference"/>
        </w:rPr>
        <w:annotationRef/>
      </w:r>
      <w:r>
        <w:t xml:space="preserve">From Ken: </w:t>
      </w:r>
      <w:r>
        <w:rPr>
          <w:color w:val="000000"/>
        </w:rPr>
        <w:t>possibly the ‘70s CUP</w:t>
      </w:r>
    </w:p>
  </w:comment>
  <w:comment w:id="227" w:author="REDICK Daniel" w:date="2023-02-14T11:45:00Z" w:initials="RD">
    <w:p w14:paraId="47896A2F" w14:textId="77777777" w:rsidR="006F646F" w:rsidRDefault="006F646F" w:rsidP="006F646F">
      <w:pPr>
        <w:pStyle w:val="CommentText"/>
      </w:pPr>
      <w:r>
        <w:rPr>
          <w:rStyle w:val="CommentReference"/>
        </w:rPr>
        <w:annotationRef/>
      </w:r>
      <w:r>
        <w:t xml:space="preserve">The 2000 EOL was from the 1977 </w:t>
      </w:r>
      <w:hyperlink r:id="rId1" w:history="1">
        <w:r w:rsidRPr="00E70923">
          <w:rPr>
            <w:rStyle w:val="Hyperlink1"/>
          </w:rPr>
          <w:t>WCSI Solid Waste Management Plan (1977)</w:t>
        </w:r>
      </w:hyperlink>
      <w:r>
        <w:t>. I added that information to the table, along with other information from historical land use files.</w:t>
      </w:r>
    </w:p>
  </w:comment>
  <w:comment w:id="228" w:author="REDICK Daniel" w:date="2023-02-02T13:33:00Z" w:initials="RD">
    <w:p w14:paraId="3026DCB8" w14:textId="77777777" w:rsidR="006F646F" w:rsidRDefault="006F646F" w:rsidP="006F646F">
      <w:pPr>
        <w:pStyle w:val="CommentText"/>
      </w:pPr>
      <w:r>
        <w:rPr>
          <w:rStyle w:val="CommentReference"/>
        </w:rPr>
        <w:annotationRef/>
      </w:r>
      <w:r>
        <w:t>Addition from Ken Eklund</w:t>
      </w:r>
    </w:p>
  </w:comment>
  <w:comment w:id="229" w:author="REDICK Daniel" w:date="2023-02-14T10:03:00Z" w:initials="RD">
    <w:p w14:paraId="5DEE3C95" w14:textId="77777777" w:rsidR="006F646F" w:rsidRDefault="006F646F" w:rsidP="006F646F">
      <w:pPr>
        <w:pStyle w:val="CommentText"/>
      </w:pPr>
      <w:r>
        <w:rPr>
          <w:rStyle w:val="CommentReference"/>
        </w:rPr>
        <w:annotationRef/>
      </w:r>
      <w:r>
        <w:t>These list current EOL projections (starting at 2010), but this chart is for "Historical EOL Projections". This information is already represented in the chart above using more accurate information. I recommend deleting after 2003.</w:t>
      </w:r>
    </w:p>
  </w:comment>
  <w:comment w:id="230" w:author="REDICK Daniel" w:date="2023-02-08T11:22:00Z" w:initials="RD">
    <w:p w14:paraId="179713BF" w14:textId="77777777" w:rsidR="006F646F" w:rsidRDefault="006F646F" w:rsidP="006F646F">
      <w:pPr>
        <w:pStyle w:val="CommentText"/>
      </w:pPr>
      <w:r>
        <w:rPr>
          <w:rStyle w:val="CommentReference"/>
        </w:rPr>
        <w:annotationRef/>
      </w:r>
      <w:r>
        <w:t>Using EPA information here instead of the standard information from annual reports (which have been referenced throughout the rest of the document) is confusing and less accurate. The EPA does not have a formal role in estimating lifespan, so why would that information be added here instead of the official annual reports?</w:t>
      </w:r>
    </w:p>
  </w:comment>
  <w:comment w:id="231" w:author="Rough, Ginger" w:date="2023-02-09T15:53:00Z" w:initials="RG">
    <w:p w14:paraId="19DD4448" w14:textId="77777777" w:rsidR="006F646F" w:rsidRDefault="006F646F" w:rsidP="006F646F">
      <w:pPr>
        <w:pStyle w:val="CommentText"/>
      </w:pPr>
      <w:r>
        <w:rPr>
          <w:rStyle w:val="CommentReference"/>
        </w:rPr>
        <w:annotationRef/>
      </w:r>
      <w:r>
        <w:t>Agreed.</w:t>
      </w:r>
    </w:p>
  </w:comment>
  <w:comment w:id="232" w:author="REDICK Daniel" w:date="2023-02-15T08:26:00Z" w:initials="RD">
    <w:p w14:paraId="589132FB" w14:textId="77777777" w:rsidR="006F646F" w:rsidRDefault="006F646F" w:rsidP="006F646F">
      <w:pPr>
        <w:pStyle w:val="CommentText"/>
      </w:pPr>
      <w:r>
        <w:rPr>
          <w:rStyle w:val="CommentReference"/>
        </w:rPr>
        <w:annotationRef/>
      </w:r>
      <w:r>
        <w:t xml:space="preserve">From Ginger: </w:t>
      </w:r>
      <w:r>
        <w:rPr>
          <w:color w:val="0000FF"/>
        </w:rPr>
        <w:t>Note: Republic Services agrees with County Staff that EPA data in this chart should be replaced with data Annual Reports filed with Benton County.</w:t>
      </w:r>
    </w:p>
  </w:comment>
  <w:comment w:id="235" w:author="REDICK Daniel" w:date="2023-02-09T16:20:00Z" w:initials="RD">
    <w:p w14:paraId="555DA332" w14:textId="77777777" w:rsidR="006F646F" w:rsidRDefault="006F646F" w:rsidP="006F646F">
      <w:pPr>
        <w:pStyle w:val="CommentText"/>
      </w:pPr>
      <w:r>
        <w:rPr>
          <w:rStyle w:val="CommentReference"/>
        </w:rPr>
        <w:annotationRef/>
      </w:r>
      <w:r>
        <w:t>From Paul: Suggest we just identify this as the formal baseline projection provided by the franchisee and eliminate the redundant versions below (P. 6 &amp; 8).</w:t>
      </w:r>
    </w:p>
  </w:comment>
  <w:comment w:id="236" w:author="REDICK Daniel" w:date="2023-02-14T15:36:00Z" w:initials="RD">
    <w:p w14:paraId="044A911B" w14:textId="77777777" w:rsidR="006F646F" w:rsidRDefault="006F646F" w:rsidP="006F646F">
      <w:pPr>
        <w:pStyle w:val="CommentText"/>
      </w:pPr>
      <w:r>
        <w:rPr>
          <w:rStyle w:val="CommentReference"/>
        </w:rPr>
        <w:annotationRef/>
      </w:r>
      <w:r>
        <w:t>Done</w:t>
      </w:r>
    </w:p>
  </w:comment>
  <w:comment w:id="237" w:author="Rough, Ginger" w:date="2023-02-09T12:07:00Z" w:initials="RG">
    <w:p w14:paraId="3BAD676A" w14:textId="77777777" w:rsidR="006F646F" w:rsidRDefault="006F646F" w:rsidP="006F646F">
      <w:pPr>
        <w:pStyle w:val="CommentText"/>
      </w:pPr>
      <w:r>
        <w:rPr>
          <w:rStyle w:val="CommentReference"/>
        </w:rPr>
        <w:annotationRef/>
      </w:r>
      <w:r>
        <w:t>All text here verbatim from Ken’s explanatory text on the revised graphic in the original document. Trying to avoid having the graphic in there twice as it’s currently listed.</w:t>
      </w:r>
    </w:p>
  </w:comment>
  <w:comment w:id="238" w:author="REDICK Daniel" w:date="2023-02-15T08:21:00Z" w:initials="RD">
    <w:p w14:paraId="0665269A" w14:textId="77777777" w:rsidR="006F646F" w:rsidRDefault="006F646F" w:rsidP="006F646F">
      <w:pPr>
        <w:pStyle w:val="CommentText"/>
      </w:pPr>
      <w:r>
        <w:rPr>
          <w:rStyle w:val="CommentReference"/>
        </w:rPr>
        <w:annotationRef/>
      </w:r>
      <w:r>
        <w:t>From Chuck - 2/15 email, added here instead of beneath the heading "A" above.</w:t>
      </w:r>
    </w:p>
  </w:comment>
  <w:comment w:id="242" w:author="Rough, Ginger" w:date="2023-02-09T13:32:00Z" w:initials="RG">
    <w:p w14:paraId="7186944B" w14:textId="77777777" w:rsidR="006F646F" w:rsidRDefault="006F646F" w:rsidP="006F646F">
      <w:pPr>
        <w:pStyle w:val="CommentText"/>
      </w:pPr>
      <w:r>
        <w:rPr>
          <w:rStyle w:val="CommentReference"/>
        </w:rPr>
        <w:annotationRef/>
      </w:r>
      <w:r>
        <w:t>The above paragraphs are verbatim in the existing report.</w:t>
      </w:r>
    </w:p>
  </w:comment>
  <w:comment w:id="243" w:author="Rough, Ginger" w:date="2023-02-09T15:43:00Z" w:initials="RG">
    <w:p w14:paraId="52F403D8" w14:textId="77777777" w:rsidR="006F646F" w:rsidRDefault="006F646F" w:rsidP="006F646F">
      <w:pPr>
        <w:pStyle w:val="CommentText"/>
      </w:pPr>
      <w:r>
        <w:rPr>
          <w:rStyle w:val="CommentReference"/>
        </w:rPr>
        <w:annotationRef/>
      </w:r>
      <w:r>
        <w:t>Another note…I need to correct the graphic. It should not have (pandemic) in parenthesis after quarry excavation.</w:t>
      </w:r>
    </w:p>
  </w:comment>
  <w:comment w:id="244" w:author="Rough, Ginger" w:date="2023-02-09T13:32:00Z" w:initials="RG">
    <w:p w14:paraId="76446662" w14:textId="77777777" w:rsidR="006F646F" w:rsidRDefault="006F646F" w:rsidP="006F646F">
      <w:pPr>
        <w:pStyle w:val="CommentText"/>
      </w:pPr>
      <w:r>
        <w:rPr>
          <w:rStyle w:val="CommentReference"/>
        </w:rPr>
        <w:annotationRef/>
      </w:r>
      <w:r>
        <w:t>Added per Paul’s suggestion.</w:t>
      </w:r>
    </w:p>
  </w:comment>
  <w:comment w:id="245" w:author="Rough, Ginger" w:date="2023-02-09T12:24:00Z" w:initials="RG">
    <w:p w14:paraId="3918B38A" w14:textId="77777777" w:rsidR="006F646F" w:rsidRDefault="006F646F" w:rsidP="006F646F">
      <w:pPr>
        <w:pStyle w:val="CommentText"/>
      </w:pPr>
      <w:r>
        <w:rPr>
          <w:rStyle w:val="CommentReference"/>
        </w:rPr>
        <w:annotationRef/>
      </w:r>
      <w:r>
        <w:t>These paragraphs are from Chuck. I did attempt to pare them down, but if I mischaracterized anything, I am happy to make adjustments. I also believe Chuck wanted to craft a “finding” out of this section and am open to that as well.</w:t>
      </w:r>
    </w:p>
  </w:comment>
  <w:comment w:id="246" w:author="Rough, Ginger" w:date="2023-02-09T13:33:00Z" w:initials="RG">
    <w:p w14:paraId="03AC8B61" w14:textId="77777777" w:rsidR="006F646F" w:rsidRDefault="006F646F" w:rsidP="006F646F">
      <w:pPr>
        <w:pStyle w:val="CommentText"/>
      </w:pPr>
      <w:r>
        <w:rPr>
          <w:rStyle w:val="CommentReference"/>
        </w:rPr>
        <w:annotationRef/>
      </w:r>
      <w:r>
        <w:t>Pulled directly from the existing document; the paragraphs that follow are pretty close to existing text. I simplified the “business decisions” sentence.</w:t>
      </w:r>
    </w:p>
  </w:comment>
  <w:comment w:id="247" w:author="Rough, Ginger" w:date="2023-02-09T12:51:00Z" w:initials="RG">
    <w:p w14:paraId="0D6BBE57" w14:textId="77777777" w:rsidR="006F646F" w:rsidRDefault="006F646F" w:rsidP="006F646F">
      <w:pPr>
        <w:pStyle w:val="CommentText"/>
      </w:pPr>
      <w:r>
        <w:rPr>
          <w:rStyle w:val="CommentReference"/>
        </w:rPr>
        <w:annotationRef/>
      </w:r>
      <w:r>
        <w:t>I believe Ken wanted this to be a finding; I am in agreement that it should be.</w:t>
      </w:r>
    </w:p>
  </w:comment>
  <w:comment w:id="248" w:author="Rough, Ginger" w:date="2023-02-09T12:58:00Z" w:initials="RG">
    <w:p w14:paraId="7971C89F" w14:textId="77777777" w:rsidR="006F646F" w:rsidRDefault="006F646F" w:rsidP="006F646F">
      <w:pPr>
        <w:pStyle w:val="CommentText"/>
      </w:pPr>
      <w:r>
        <w:rPr>
          <w:rStyle w:val="CommentReference"/>
        </w:rPr>
        <w:annotationRef/>
      </w:r>
      <w:r>
        <w:t>I put these two paragraphs in here in bold because I think it really synthesizes the issue we are having throughout Section 3. Generally speaking, it appears we are in agreement that human and other factors impact site life. We’re diverging in whether to flesh that out into scenarios. Attempted to take the intro from one of Ken’s introductions and frame it into this specific push-pull, without judgement. I think from here we could keep Daniel’s alternate scenario text and Ken’s revised scenario text and put them in an appendix for people to read further.</w:t>
      </w:r>
    </w:p>
  </w:comment>
  <w:comment w:id="252" w:author="REDICK Daniel" w:date="2023-03-02T15:39:00Z" w:initials="RD">
    <w:p w14:paraId="1D2A84BC" w14:textId="77777777" w:rsidR="006F646F" w:rsidRDefault="006F646F" w:rsidP="006F646F">
      <w:pPr>
        <w:pStyle w:val="CommentText"/>
      </w:pPr>
      <w:r>
        <w:rPr>
          <w:rStyle w:val="CommentReference"/>
        </w:rPr>
        <w:annotationRef/>
      </w:r>
      <w:r>
        <w:t>All graphs should be updated with "2000 Intake Threshold" instead of the "2000 FA limit" language.</w:t>
      </w:r>
    </w:p>
  </w:comment>
  <w:comment w:id="253" w:author="Paul Nietfeld" w:date="2023-02-09T09:37:00Z" w:initials="PN">
    <w:p w14:paraId="0332D546" w14:textId="77777777" w:rsidR="006F646F" w:rsidRDefault="006F646F" w:rsidP="006F646F">
      <w:pPr>
        <w:pStyle w:val="Default"/>
        <w:rPr>
          <w:rFonts w:ascii="Times New Roman" w:eastAsia="Arial Unicode MS" w:hAnsi="Times New Roman" w:cs="Times New Roman"/>
          <w:color w:val="auto"/>
          <w:sz w:val="20"/>
          <w:szCs w:val="20"/>
        </w:rPr>
      </w:pPr>
    </w:p>
    <w:p w14:paraId="502CA204" w14:textId="77777777" w:rsidR="006F646F" w:rsidRDefault="006F646F" w:rsidP="006F646F">
      <w:pPr>
        <w:pStyle w:val="Default"/>
        <w:rPr>
          <w:rFonts w:ascii="Times New Roman" w:eastAsia="Arial Unicode MS" w:hAnsi="Times New Roman" w:cs="Times New Roman"/>
          <w:color w:val="auto"/>
          <w:sz w:val="20"/>
          <w:szCs w:val="20"/>
        </w:rPr>
      </w:pPr>
      <w:r>
        <w:rPr>
          <w:rFonts w:eastAsia="Arial Unicode MS" w:cs="Arial Unicode MS"/>
        </w:rPr>
        <w:t>Republic: please confirm or correct this number</w:t>
      </w:r>
    </w:p>
  </w:comment>
  <w:comment w:id="254" w:author="REDICK Daniel" w:date="2023-03-10T16:25:00Z" w:initials="RD">
    <w:p w14:paraId="5B504726" w14:textId="77777777" w:rsidR="006F646F" w:rsidRDefault="006F646F" w:rsidP="006F646F">
      <w:pPr>
        <w:pStyle w:val="CommentText"/>
      </w:pPr>
      <w:r>
        <w:rPr>
          <w:rStyle w:val="CommentReference"/>
        </w:rPr>
        <w:annotationRef/>
      </w:r>
      <w:r>
        <w:t>Added by Ginger.</w:t>
      </w:r>
    </w:p>
  </w:comment>
  <w:comment w:id="255" w:author="Paul Nietfeld" w:date="2023-02-09T09:39:00Z" w:initials="PN">
    <w:p w14:paraId="31C66987" w14:textId="77777777" w:rsidR="006F646F" w:rsidRDefault="006F646F" w:rsidP="006F646F">
      <w:pPr>
        <w:pStyle w:val="Default"/>
        <w:rPr>
          <w:rFonts w:ascii="Times New Roman" w:eastAsia="Arial Unicode MS" w:hAnsi="Times New Roman" w:cs="Times New Roman"/>
          <w:color w:val="auto"/>
          <w:sz w:val="20"/>
          <w:szCs w:val="20"/>
        </w:rPr>
      </w:pPr>
    </w:p>
    <w:p w14:paraId="23CB2906" w14:textId="77777777" w:rsidR="006F646F" w:rsidRDefault="006F646F" w:rsidP="006F646F">
      <w:pPr>
        <w:pStyle w:val="Default"/>
        <w:rPr>
          <w:rFonts w:ascii="Times New Roman" w:eastAsia="Arial Unicode MS" w:hAnsi="Times New Roman" w:cs="Times New Roman"/>
          <w:color w:val="auto"/>
          <w:sz w:val="20"/>
          <w:szCs w:val="20"/>
        </w:rPr>
      </w:pPr>
      <w:r>
        <w:rPr>
          <w:rFonts w:eastAsia="Arial Unicode MS" w:cs="Arial Unicode MS"/>
        </w:rPr>
        <w:t>Republic: is this accurate?  Bill B. seemed to imply that accelerated excavation might solve this.</w:t>
      </w:r>
    </w:p>
  </w:comment>
  <w:comment w:id="256" w:author="Paul Nietfeld" w:date="2023-02-09T10:13:00Z" w:initials="PN">
    <w:p w14:paraId="35916F65" w14:textId="77777777" w:rsidR="006F646F" w:rsidRDefault="006F646F" w:rsidP="006F646F">
      <w:pPr>
        <w:pStyle w:val="Default"/>
        <w:rPr>
          <w:rFonts w:ascii="Times New Roman" w:eastAsia="Arial Unicode MS" w:hAnsi="Times New Roman" w:cs="Times New Roman"/>
          <w:color w:val="auto"/>
          <w:sz w:val="20"/>
          <w:szCs w:val="20"/>
        </w:rPr>
      </w:pPr>
    </w:p>
    <w:p w14:paraId="276B342F" w14:textId="77777777" w:rsidR="006F646F" w:rsidRDefault="006F646F" w:rsidP="006F646F">
      <w:pPr>
        <w:pStyle w:val="Default"/>
        <w:rPr>
          <w:rFonts w:ascii="Times New Roman" w:eastAsia="Arial Unicode MS" w:hAnsi="Times New Roman" w:cs="Times New Roman"/>
          <w:color w:val="auto"/>
          <w:sz w:val="20"/>
          <w:szCs w:val="20"/>
        </w:rPr>
      </w:pPr>
      <w:r>
        <w:rPr>
          <w:rFonts w:eastAsia="Arial Unicode MS" w:cs="Arial Unicode MS"/>
        </w:rPr>
        <w:t>My perception is the fee stated in the MOU was simply the then-current rate.  Republic: is this true?</w:t>
      </w:r>
    </w:p>
  </w:comment>
  <w:comment w:id="257" w:author="Paul Nietfeld" w:date="2023-02-09T09:41:00Z" w:initials="PN">
    <w:p w14:paraId="56BDB548" w14:textId="77777777" w:rsidR="006F646F" w:rsidRDefault="006F646F" w:rsidP="006F646F">
      <w:pPr>
        <w:pStyle w:val="Default"/>
        <w:rPr>
          <w:rFonts w:ascii="Times New Roman" w:eastAsia="Arial Unicode MS" w:hAnsi="Times New Roman" w:cs="Times New Roman"/>
          <w:color w:val="auto"/>
          <w:sz w:val="20"/>
          <w:szCs w:val="20"/>
        </w:rPr>
      </w:pPr>
    </w:p>
    <w:p w14:paraId="46E06C90" w14:textId="77777777" w:rsidR="006F646F" w:rsidRDefault="006F646F" w:rsidP="006F646F">
      <w:pPr>
        <w:pStyle w:val="Default"/>
        <w:rPr>
          <w:rFonts w:ascii="Times New Roman" w:eastAsia="Arial Unicode MS" w:hAnsi="Times New Roman" w:cs="Times New Roman"/>
          <w:color w:val="auto"/>
          <w:sz w:val="20"/>
          <w:szCs w:val="20"/>
        </w:rPr>
      </w:pPr>
      <w:r>
        <w:rPr>
          <w:rFonts w:eastAsia="Arial Unicode MS" w:cs="Arial Unicode MS"/>
        </w:rPr>
        <w:t>I would note that with the elimination of the 2020 Intake Cap the intake volumes are legally unlimited.  A smooth ramp-up as shown could actually be significantly underestimating the intake.</w:t>
      </w:r>
    </w:p>
  </w:comment>
  <w:comment w:id="258" w:author="Ken Eklund" w:date="2023-02-21T12:31:00Z" w:initials="KE">
    <w:p w14:paraId="2AB1AF40" w14:textId="77777777" w:rsidR="006F646F" w:rsidRDefault="006F646F" w:rsidP="006F646F">
      <w:pPr>
        <w:pStyle w:val="Default"/>
        <w:rPr>
          <w:rFonts w:ascii="Times New Roman" w:eastAsia="Arial Unicode MS" w:hAnsi="Times New Roman" w:cs="Times New Roman"/>
          <w:color w:val="auto"/>
          <w:sz w:val="20"/>
          <w:szCs w:val="20"/>
        </w:rPr>
      </w:pPr>
    </w:p>
    <w:p w14:paraId="7D9CE30B" w14:textId="77777777" w:rsidR="006F646F" w:rsidRDefault="006F646F" w:rsidP="006F646F">
      <w:pPr>
        <w:pStyle w:val="Default"/>
        <w:rPr>
          <w:rFonts w:ascii="Times New Roman" w:eastAsia="Arial Unicode MS" w:hAnsi="Times New Roman" w:cs="Times New Roman"/>
          <w:color w:val="auto"/>
          <w:sz w:val="20"/>
          <w:szCs w:val="20"/>
        </w:rPr>
      </w:pPr>
      <w:r>
        <w:rPr>
          <w:rFonts w:eastAsia="Arial Unicode MS" w:cs="Arial Unicode MS"/>
        </w:rPr>
        <w:t>Added per Paul’s comment, to make assumptions clear.</w:t>
      </w:r>
    </w:p>
  </w:comment>
  <w:comment w:id="259" w:author="REDICK Daniel" w:date="2023-03-02T09:55:00Z" w:initials="RD">
    <w:p w14:paraId="06BF1110" w14:textId="77777777" w:rsidR="006F646F" w:rsidRDefault="006F646F" w:rsidP="006F646F">
      <w:pPr>
        <w:pStyle w:val="CommentText"/>
      </w:pPr>
      <w:r>
        <w:rPr>
          <w:rStyle w:val="CommentReference"/>
        </w:rPr>
        <w:annotationRef/>
      </w:r>
      <w:r>
        <w:t xml:space="preserve">The group does not have enough supporting evidence to make these specific closure date claims, or any claims comparing the likelihood of scenarios. </w:t>
      </w:r>
    </w:p>
  </w:comment>
  <w:comment w:id="263" w:author="Paul Nietfeld" w:date="2023-01-11T11:29:00Z" w:initials="PN">
    <w:p w14:paraId="6AFE5439" w14:textId="77777777" w:rsidR="006F646F" w:rsidRDefault="006F646F" w:rsidP="006F646F">
      <w:pPr>
        <w:pStyle w:val="CommentText"/>
      </w:pPr>
      <w:r>
        <w:rPr>
          <w:rStyle w:val="CommentReference"/>
        </w:rPr>
        <w:annotationRef/>
      </w:r>
      <w:r>
        <w:rPr>
          <w:rStyle w:val="CommentReference"/>
        </w:rPr>
        <w:annotationRef/>
      </w:r>
      <w:r>
        <w:t>I will work with Chuck to consolidate the data from his Appendix B table, and to add backup information for the “2000 FA Limit” item.</w:t>
      </w:r>
    </w:p>
    <w:p w14:paraId="39F1FE80" w14:textId="77777777" w:rsidR="006F646F" w:rsidRDefault="006F646F" w:rsidP="006F646F">
      <w:pPr>
        <w:pStyle w:val="CommentText"/>
      </w:pPr>
    </w:p>
  </w:comment>
  <w:comment w:id="264" w:author="REDICK Daniel" w:date="2023-02-17T12:56:00Z" w:initials="RD">
    <w:p w14:paraId="13BD4EA4" w14:textId="77777777" w:rsidR="006F646F" w:rsidRDefault="006F646F" w:rsidP="006F646F">
      <w:pPr>
        <w:pStyle w:val="CommentText"/>
      </w:pPr>
      <w:r>
        <w:rPr>
          <w:rStyle w:val="CommentReference"/>
        </w:rPr>
        <w:annotationRef/>
      </w:r>
      <w:r>
        <w:t>I've consolidated the table information into the one below.</w:t>
      </w:r>
    </w:p>
  </w:comment>
  <w:comment w:id="265" w:author="REDICK Daniel" w:date="2023-01-03T09:44:00Z" w:initials="RD">
    <w:p w14:paraId="607EB0C2" w14:textId="77777777" w:rsidR="006F646F" w:rsidRDefault="006F646F" w:rsidP="006F646F">
      <w:pPr>
        <w:pStyle w:val="CommentText"/>
      </w:pPr>
      <w:r>
        <w:rPr>
          <w:rStyle w:val="CommentReference"/>
        </w:rPr>
        <w:annotationRef/>
      </w:r>
      <w:r>
        <w:t>I recommend using the combined table below, which includes reported airspace.</w:t>
      </w:r>
    </w:p>
  </w:comment>
  <w:comment w:id="266" w:author="REDICK Daniel" w:date="2023-02-17T12:56:00Z" w:initials="RD">
    <w:p w14:paraId="774FF1BE" w14:textId="77777777" w:rsidR="006F646F" w:rsidRDefault="006F646F" w:rsidP="006F646F">
      <w:pPr>
        <w:pStyle w:val="CommentText"/>
      </w:pPr>
      <w:r>
        <w:rPr>
          <w:rStyle w:val="CommentReference"/>
        </w:rPr>
        <w:annotationRef/>
      </w:r>
      <w:r>
        <w:t>I've consolidated the table information into the one below.</w:t>
      </w:r>
    </w:p>
  </w:comment>
  <w:comment w:id="267" w:author="Paul Nietfeld" w:date="2023-02-27T11:05:00Z" w:initials="PN">
    <w:p w14:paraId="50F9FC1C" w14:textId="77777777" w:rsidR="006F646F" w:rsidRDefault="006F646F" w:rsidP="006F646F">
      <w:pPr>
        <w:pStyle w:val="CommentText"/>
      </w:pPr>
      <w:r>
        <w:rPr>
          <w:rStyle w:val="CommentReference"/>
        </w:rPr>
        <w:annotationRef/>
      </w:r>
      <w:r>
        <w:t>Changed to reflect updated terminology</w:t>
      </w:r>
    </w:p>
  </w:comment>
  <w:comment w:id="268" w:author="Paul Nietfeld" w:date="2023-02-27T08:22:00Z" w:initials="PN">
    <w:p w14:paraId="2149A234" w14:textId="77777777" w:rsidR="006F646F" w:rsidRDefault="006F646F" w:rsidP="006F646F">
      <w:pPr>
        <w:pStyle w:val="CommentText"/>
      </w:pPr>
      <w:r>
        <w:rPr>
          <w:rStyle w:val="CommentReference"/>
        </w:rPr>
        <w:annotationRef/>
      </w:r>
      <w:r>
        <w:t>Added to support Comment 2 following the Intake Tonnage plot</w:t>
      </w:r>
    </w:p>
  </w:comment>
  <w:comment w:id="275" w:author="Yeager, Mark [2]" w:date="2023-01-13T09:05:00Z" w:initials="YM">
    <w:p w14:paraId="20E06B2D" w14:textId="77777777" w:rsidR="006F646F" w:rsidRDefault="006F646F" w:rsidP="006F646F">
      <w:pPr>
        <w:pStyle w:val="CommentText"/>
      </w:pPr>
      <w:r>
        <w:rPr>
          <w:rStyle w:val="CommentReference"/>
        </w:rPr>
        <w:annotationRef/>
      </w:r>
      <w:r>
        <w:t>This Table really could benefit from a parcel map or maps to orient the reader.</w:t>
      </w:r>
    </w:p>
  </w:comment>
  <w:comment w:id="276" w:author="REDICK Daniel" w:date="2023-02-17T12:55:00Z" w:initials="RD">
    <w:p w14:paraId="5C7C5F5C" w14:textId="77777777" w:rsidR="006F646F" w:rsidRDefault="006F646F" w:rsidP="006F646F">
      <w:pPr>
        <w:pStyle w:val="CommentText"/>
      </w:pPr>
      <w:r>
        <w:rPr>
          <w:rStyle w:val="CommentReference"/>
        </w:rPr>
        <w:annotationRef/>
      </w:r>
      <w:r>
        <w:t>Parcel map has been included in the "current footprint" section. This appendix, as I understand it, is intended to be supporting information for both parcel maps in the "current footprint" section.</w:t>
      </w:r>
    </w:p>
  </w:comment>
  <w:comment w:id="277" w:author="Yeager, Mark [2]" w:date="2023-01-13T09:04:00Z" w:initials="YM">
    <w:p w14:paraId="2A63273D" w14:textId="77777777" w:rsidR="006F646F" w:rsidRDefault="006F646F" w:rsidP="006F646F">
      <w:pPr>
        <w:pStyle w:val="CommentText"/>
      </w:pPr>
      <w:r>
        <w:rPr>
          <w:rStyle w:val="CommentReference"/>
        </w:rPr>
        <w:annotationRef/>
      </w:r>
      <w:r>
        <w:t>Is Property Use the same as the parcel zoning?</w:t>
      </w:r>
    </w:p>
  </w:comment>
  <w:comment w:id="278" w:author="REDICK Daniel" w:date="2023-02-02T15:10:00Z" w:initials="RD">
    <w:p w14:paraId="38E50855" w14:textId="77777777" w:rsidR="006F646F" w:rsidRDefault="006F646F" w:rsidP="006F646F">
      <w:pPr>
        <w:pStyle w:val="CommentText"/>
      </w:pPr>
      <w:r>
        <w:rPr>
          <w:rStyle w:val="CommentReference"/>
        </w:rPr>
        <w:annotationRef/>
      </w:r>
      <w:r>
        <w:t>No</w:t>
      </w:r>
    </w:p>
  </w:comment>
  <w:comment w:id="279" w:author="REDICK Daniel" w:date="2023-01-11T10:18:00Z" w:initials="RD">
    <w:p w14:paraId="457D6F0F" w14:textId="77777777" w:rsidR="006F646F" w:rsidRDefault="006F646F" w:rsidP="006F646F">
      <w:pPr>
        <w:pStyle w:val="CommentText"/>
      </w:pPr>
      <w:r>
        <w:rPr>
          <w:rStyle w:val="CommentReference"/>
        </w:rPr>
        <w:annotationRef/>
      </w:r>
      <w:r>
        <w:t>Highlighted cells show the properties which Republic Services said were likely purchased prior to the 1983 zoning changes.</w:t>
      </w:r>
    </w:p>
  </w:comment>
  <w:comment w:id="280" w:author="Paul Nietfeld" w:date="2023-01-11T11:30:00Z" w:initials="PN">
    <w:p w14:paraId="781A658B" w14:textId="77777777" w:rsidR="006F646F" w:rsidRDefault="006F646F" w:rsidP="006F646F">
      <w:pPr>
        <w:pStyle w:val="CommentText"/>
      </w:pPr>
      <w:r>
        <w:rPr>
          <w:rStyle w:val="CommentReference"/>
        </w:rPr>
        <w:annotationRef/>
      </w:r>
      <w:r>
        <w:t>Daniel: I believe this lot was owned by the landfill at the time of the 1983 rezoning; what is the transfer prior to 1983?</w:t>
      </w:r>
    </w:p>
  </w:comment>
  <w:comment w:id="281" w:author="REDICK Daniel" w:date="2023-02-17T12:53:00Z" w:initials="RD">
    <w:p w14:paraId="27B67032" w14:textId="77777777" w:rsidR="006F646F" w:rsidRDefault="006F646F" w:rsidP="006F646F">
      <w:pPr>
        <w:pStyle w:val="CommentText"/>
      </w:pPr>
      <w:r>
        <w:rPr>
          <w:rStyle w:val="CommentReference"/>
        </w:rPr>
        <w:annotationRef/>
      </w:r>
      <w:r>
        <w:t>Staff have not been able to find that information at this time. I recommend including a note in the text that it was likely owned by the landfill prior to the 1983 rezoning, but that this table reflects the documentation available at this time.</w:t>
      </w:r>
    </w:p>
  </w:comment>
  <w:comment w:id="282" w:author="Paul Nietfeld" w:date="2023-01-11T11:33:00Z" w:initials="PN">
    <w:p w14:paraId="1CFAFAD1" w14:textId="77777777" w:rsidR="006F646F" w:rsidRDefault="006F646F" w:rsidP="006F646F">
      <w:pPr>
        <w:pStyle w:val="CommentText"/>
      </w:pPr>
      <w:r>
        <w:rPr>
          <w:rStyle w:val="CommentReference"/>
        </w:rPr>
        <w:annotationRef/>
      </w:r>
      <w:r>
        <w:t>Daniel: I believe this lot was owned by the landfill at the time of the 1983 rezoning.  Is the 1977 “segregation” transfer when it became part of the landfill?  History of this parcel is particularly important to document as it would be the target for any expansion similar to LU21-047.</w:t>
      </w:r>
    </w:p>
  </w:comment>
  <w:comment w:id="285" w:author="REDICK Daniel" w:date="2023-03-03T11:16:00Z" w:initials="RD">
    <w:p w14:paraId="6374F6CB" w14:textId="77777777" w:rsidR="006F646F" w:rsidRDefault="006F646F" w:rsidP="006F646F">
      <w:pPr>
        <w:pStyle w:val="CommentText"/>
      </w:pPr>
      <w:r>
        <w:rPr>
          <w:rStyle w:val="CommentReference"/>
        </w:rPr>
        <w:annotationRef/>
      </w:r>
      <w:r>
        <w:t>From Ken</w:t>
      </w:r>
    </w:p>
  </w:comment>
  <w:comment w:id="286" w:author="REDICK Daniel" w:date="2023-03-03T11:16:00Z" w:initials="RD">
    <w:p w14:paraId="192CC5E8" w14:textId="77777777" w:rsidR="006F646F" w:rsidRDefault="006F646F" w:rsidP="006F646F">
      <w:pPr>
        <w:pStyle w:val="CommentText"/>
      </w:pPr>
      <w:r>
        <w:rPr>
          <w:rStyle w:val="CommentReference"/>
        </w:rPr>
        <w:annotationRef/>
      </w:r>
      <w:r>
        <w:t>From Ken</w:t>
      </w:r>
    </w:p>
  </w:comment>
  <w:comment w:id="287" w:author="REDICK Daniel" w:date="2023-03-03T11:04:00Z" w:initials="RD">
    <w:p w14:paraId="65B107EE" w14:textId="77777777" w:rsidR="006F646F" w:rsidRDefault="006F646F" w:rsidP="006F646F">
      <w:pPr>
        <w:pStyle w:val="CommentText"/>
      </w:pPr>
      <w:r>
        <w:rPr>
          <w:rStyle w:val="CommentReference"/>
        </w:rPr>
        <w:annotationRef/>
      </w:r>
      <w:r>
        <w:t>This is another claim of likelihood, which is unsupported. How "significant"? Compared to what?</w:t>
      </w:r>
    </w:p>
  </w:comment>
  <w:comment w:id="288" w:author="Rough, Ginger" w:date="2022-12-14T17:36:00Z" w:initials="RG">
    <w:p w14:paraId="538A2D92" w14:textId="77777777" w:rsidR="006F646F" w:rsidRDefault="006F646F" w:rsidP="006F646F">
      <w:pPr>
        <w:pStyle w:val="Default"/>
        <w:rPr>
          <w:rFonts w:ascii="Times New Roman" w:eastAsia="Arial Unicode MS" w:hAnsi="Times New Roman" w:cs="Times New Roman"/>
          <w:color w:val="auto"/>
          <w:sz w:val="20"/>
          <w:szCs w:val="20"/>
        </w:rPr>
      </w:pPr>
    </w:p>
    <w:p w14:paraId="77031A65" w14:textId="77777777" w:rsidR="006F646F" w:rsidRDefault="006F646F" w:rsidP="006F646F">
      <w:pPr>
        <w:pStyle w:val="Default"/>
        <w:rPr>
          <w:rFonts w:ascii="Times New Roman" w:eastAsia="Arial Unicode MS" w:hAnsi="Times New Roman" w:cs="Times New Roman"/>
          <w:color w:val="auto"/>
          <w:sz w:val="20"/>
          <w:szCs w:val="20"/>
        </w:rPr>
      </w:pPr>
      <w:r>
        <w:rPr>
          <w:rFonts w:eastAsia="Arial Unicode MS" w:cs="Arial Unicode MS"/>
        </w:rPr>
        <w:t>Republic Services believes that this entire section and the scenarios that follow should be stricken from the record, as these issues are not within the scope or charge of the site life subcommittee. Further, the scenarios outlined below are based on speculative presumptions that have not yet occurred.</w:t>
      </w:r>
    </w:p>
  </w:comment>
  <w:comment w:id="289" w:author="Yeager, Mark" w:date="2023-01-13T08:35:00Z" w:initials="YM[">
    <w:p w14:paraId="4D188529" w14:textId="77777777" w:rsidR="006F646F" w:rsidRDefault="006F646F" w:rsidP="006F646F">
      <w:pPr>
        <w:pStyle w:val="Default"/>
        <w:rPr>
          <w:rFonts w:ascii="Times New Roman" w:eastAsia="Arial Unicode MS" w:hAnsi="Times New Roman" w:cs="Times New Roman"/>
          <w:color w:val="auto"/>
          <w:sz w:val="20"/>
          <w:szCs w:val="20"/>
        </w:rPr>
      </w:pPr>
    </w:p>
    <w:p w14:paraId="40B94219" w14:textId="77777777" w:rsidR="006F646F" w:rsidRDefault="006F646F" w:rsidP="006F646F">
      <w:pPr>
        <w:pStyle w:val="Default"/>
        <w:rPr>
          <w:rFonts w:ascii="Times New Roman" w:eastAsia="Arial Unicode MS" w:hAnsi="Times New Roman" w:cs="Times New Roman"/>
          <w:color w:val="auto"/>
          <w:sz w:val="20"/>
          <w:szCs w:val="20"/>
        </w:rPr>
      </w:pPr>
      <w:r>
        <w:rPr>
          <w:rFonts w:eastAsia="Arial Unicode MS" w:cs="Arial Unicode MS"/>
        </w:rPr>
        <w:t>I disagree and oppose the effort to strike this discussion from the record as proposed by Republic Services.</w:t>
      </w:r>
    </w:p>
  </w:comment>
  <w:comment w:id="290" w:author="REDICK Daniel" w:date="2023-03-03T11:16:00Z" w:initials="RD">
    <w:p w14:paraId="1E298882" w14:textId="77777777" w:rsidR="006F646F" w:rsidRDefault="006F646F" w:rsidP="006F646F">
      <w:pPr>
        <w:pStyle w:val="CommentText"/>
      </w:pPr>
      <w:r>
        <w:rPr>
          <w:rStyle w:val="CommentReference"/>
        </w:rPr>
        <w:annotationRef/>
      </w:r>
      <w:r>
        <w:t>From Ken</w:t>
      </w:r>
    </w:p>
  </w:comment>
  <w:comment w:id="291" w:author="REDICK Daniel" w:date="2023-02-17T13:51:00Z" w:initials="RD">
    <w:p w14:paraId="3A66AB62" w14:textId="77777777" w:rsidR="006F646F" w:rsidRDefault="006F646F" w:rsidP="006F646F">
      <w:pPr>
        <w:pStyle w:val="CommentText"/>
      </w:pPr>
      <w:r>
        <w:rPr>
          <w:rStyle w:val="CommentReference"/>
        </w:rPr>
        <w:annotationRef/>
      </w:r>
      <w:r>
        <w:t>"Major" compared to what? Do you mean "major" in terms of point source facilities? As shown in my proposed edits, waste disposal (including landfills) actually contributes a very small portion GHG impacts associated with materials. In short, the original description lacks important context, and includes no supporting data/evidence.</w:t>
      </w:r>
    </w:p>
    <w:p w14:paraId="0FC9A55F" w14:textId="77777777" w:rsidR="006F646F" w:rsidRDefault="006F646F" w:rsidP="006F646F">
      <w:pPr>
        <w:pStyle w:val="CommentText"/>
      </w:pPr>
    </w:p>
    <w:p w14:paraId="45D9EE06" w14:textId="77777777" w:rsidR="006F646F" w:rsidRDefault="006F646F" w:rsidP="006F646F">
      <w:pPr>
        <w:pStyle w:val="CommentText"/>
      </w:pPr>
      <w:r>
        <w:t>The reader will likely be interested in knowing how landfills emissions compare to emissions associated with the lifecycle of materials, because you put landfills in the context of all climate impacts. I added that contextual information in red. In general, upstream lifecycle stages and materials management is much more impactful in terms of GHG emissions.</w:t>
      </w:r>
    </w:p>
    <w:p w14:paraId="548D4514" w14:textId="77777777" w:rsidR="006F646F" w:rsidRDefault="006F646F" w:rsidP="006F646F">
      <w:pPr>
        <w:pStyle w:val="CommentText"/>
      </w:pPr>
    </w:p>
    <w:p w14:paraId="4A9FF57E" w14:textId="77777777" w:rsidR="006F646F" w:rsidRDefault="006F646F" w:rsidP="006F646F">
      <w:pPr>
        <w:pStyle w:val="CommentText"/>
      </w:pPr>
      <w:r>
        <w:t>This information is important to include because in this section your are making a claim about landfill's relative impacts on climate change (relative, because you use the word "major"). So it is important to provide the reader with the opportunity to see the bigger picture.</w:t>
      </w:r>
    </w:p>
  </w:comment>
  <w:comment w:id="292" w:author="REDICK Daniel" w:date="2023-03-03T11:09:00Z" w:initials="RD">
    <w:p w14:paraId="7599CBD2" w14:textId="77777777" w:rsidR="006F646F" w:rsidRDefault="006F646F" w:rsidP="006F646F">
      <w:pPr>
        <w:pStyle w:val="CommentText"/>
      </w:pPr>
      <w:r>
        <w:rPr>
          <w:rStyle w:val="CommentReference"/>
        </w:rPr>
        <w:annotationRef/>
      </w:r>
      <w:r>
        <w:t>Ken's version proposed to replace Daniel's addition in the paragraph above.</w:t>
      </w:r>
    </w:p>
  </w:comment>
  <w:comment w:id="293" w:author="REDICK Daniel" w:date="2023-03-03T11:14:00Z" w:initials="RD">
    <w:p w14:paraId="282D2A75" w14:textId="77777777" w:rsidR="006F646F" w:rsidRDefault="006F646F" w:rsidP="006F646F">
      <w:pPr>
        <w:pStyle w:val="CommentText"/>
      </w:pPr>
      <w:r>
        <w:rPr>
          <w:rStyle w:val="CommentReference"/>
        </w:rPr>
        <w:annotationRef/>
      </w:r>
      <w:r>
        <w:t xml:space="preserve">This does not address the relative greenhouse gas impacts in any way, and still does not provide "a more complete context". </w:t>
      </w:r>
      <w:r>
        <w:rPr>
          <w:color w:val="000000"/>
        </w:rPr>
        <w:t xml:space="preserve"> 2.3 million for sector based waste emissions and at</w:t>
      </w:r>
      <w:r>
        <w:rPr>
          <w:color w:val="FF0000"/>
        </w:rPr>
        <w:t xml:space="preserve"> </w:t>
      </w:r>
      <w:r>
        <w:rPr>
          <w:color w:val="000000"/>
        </w:rPr>
        <w:t>500,000 MTCO2 for consumption based waste emissions aren't helpful numbers without the context of total emissions in each of those emissions calculations. 89 million MTCO2e total emissions for sector-based, means waste is about 2.6% of total. And again, post consumer disposal of waste represents about 1% of consumption-based emissions.</w:t>
      </w:r>
    </w:p>
  </w:comment>
  <w:comment w:id="294" w:author="REDICK Daniel" w:date="2023-02-17T14:35:00Z" w:initials="RD">
    <w:p w14:paraId="67C28505" w14:textId="77777777" w:rsidR="006F646F" w:rsidRDefault="006F646F" w:rsidP="006F646F">
      <w:pPr>
        <w:pStyle w:val="CommentText"/>
      </w:pPr>
      <w:r>
        <w:rPr>
          <w:rStyle w:val="CommentReference"/>
        </w:rPr>
        <w:annotationRef/>
      </w:r>
      <w:r>
        <w:t>I added this figure as support/documentation for the information provided above.</w:t>
      </w:r>
    </w:p>
  </w:comment>
  <w:comment w:id="295" w:author="REDICK Daniel" w:date="2023-03-03T11:39:00Z" w:initials="RD">
    <w:p w14:paraId="2C760BB3" w14:textId="77777777" w:rsidR="006F646F" w:rsidRDefault="006F646F" w:rsidP="006F646F">
      <w:pPr>
        <w:pStyle w:val="CommentText"/>
      </w:pPr>
      <w:r>
        <w:rPr>
          <w:rStyle w:val="CommentReference"/>
        </w:rPr>
        <w:annotationRef/>
      </w:r>
      <w:r>
        <w:t>There are "lines of reasoning" which do not match the "lines of reasoning" proposed by Ken, as noted in the comments. This applies to the first sentence. The second sentence seems to match what the subcommittee has discussed, but is also unnecessary since the document already mentions that each of these elements have potential to impact the landfill EOL.</w:t>
      </w:r>
    </w:p>
  </w:comment>
  <w:comment w:id="296" w:author="REDICK Daniel" w:date="2023-03-03T11:45:00Z" w:initials="RD">
    <w:p w14:paraId="47ABA7AC" w14:textId="77777777" w:rsidR="006F646F" w:rsidRDefault="006F646F" w:rsidP="006F646F">
      <w:pPr>
        <w:pStyle w:val="CommentText"/>
      </w:pPr>
      <w:r>
        <w:rPr>
          <w:rStyle w:val="CommentReference"/>
        </w:rPr>
        <w:annotationRef/>
      </w:r>
      <w:r>
        <w:t xml:space="preserve">Addition from Daniel, to add a conclusion on the contextual discussion above. </w:t>
      </w:r>
    </w:p>
  </w:comment>
  <w:comment w:id="297" w:author="REDICK Daniel" w:date="2023-03-03T11:46:00Z" w:initials="RD">
    <w:p w14:paraId="1F4C3C91" w14:textId="77777777" w:rsidR="006F646F" w:rsidRDefault="006F646F" w:rsidP="006F646F">
      <w:pPr>
        <w:pStyle w:val="CommentText"/>
      </w:pPr>
      <w:r>
        <w:rPr>
          <w:rStyle w:val="CommentReference"/>
        </w:rPr>
        <w:annotationRef/>
      </w:r>
      <w:r>
        <w:t>How likely, and where is the data to support this claim? This claim of likelihood is not something that our subcommittee can make with the information we have.</w:t>
      </w:r>
    </w:p>
  </w:comment>
  <w:comment w:id="298" w:author="REDICK Daniel" w:date="2023-03-03T11:47:00Z" w:initials="RD">
    <w:p w14:paraId="4ABC3A4D" w14:textId="77777777" w:rsidR="006F646F" w:rsidRDefault="006F646F" w:rsidP="006F646F">
      <w:pPr>
        <w:pStyle w:val="CommentText"/>
      </w:pPr>
      <w:r>
        <w:rPr>
          <w:rStyle w:val="CommentReference"/>
        </w:rPr>
        <w:annotationRef/>
      </w:r>
      <w:r>
        <w:t>How quickly, and compared to what? I recommend using more objective language.</w:t>
      </w:r>
    </w:p>
  </w:comment>
  <w:comment w:id="299" w:author="REDICK Daniel" w:date="2023-03-03T11:49:00Z" w:initials="RD">
    <w:p w14:paraId="32157B95" w14:textId="77777777" w:rsidR="006F646F" w:rsidRDefault="006F646F" w:rsidP="006F646F">
      <w:pPr>
        <w:pStyle w:val="CommentText"/>
      </w:pPr>
      <w:r>
        <w:rPr>
          <w:rStyle w:val="CommentReference"/>
        </w:rPr>
        <w:annotationRef/>
      </w:r>
      <w:r>
        <w:t>Recommend removing this word, making the sentence more objective</w:t>
      </w:r>
    </w:p>
  </w:comment>
  <w:comment w:id="300" w:author="REDICK Daniel" w:date="2023-03-03T11:50:00Z" w:initials="RD">
    <w:p w14:paraId="7D32D446" w14:textId="77777777" w:rsidR="006F646F" w:rsidRDefault="006F646F" w:rsidP="006F646F">
      <w:pPr>
        <w:pStyle w:val="CommentText"/>
      </w:pPr>
      <w:r>
        <w:rPr>
          <w:rStyle w:val="CommentReference"/>
        </w:rPr>
        <w:annotationRef/>
      </w:r>
      <w:r>
        <w:t>Recommend removing this word, making the sentence more objective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EED726D" w15:done="1"/>
  <w15:commentEx w15:paraId="264BAF0E" w15:done="1"/>
  <w15:commentEx w15:paraId="408785A0" w15:done="1"/>
  <w15:commentEx w15:paraId="61D60564" w15:done="1"/>
  <w15:commentEx w15:paraId="6A99C06A" w15:done="1"/>
  <w15:commentEx w15:paraId="2777A2B6" w15:done="1"/>
  <w15:commentEx w15:paraId="33A9F1CA" w15:done="1"/>
  <w15:commentEx w15:paraId="3D375F49" w15:done="1"/>
  <w15:commentEx w15:paraId="104F3F80" w15:done="1"/>
  <w15:commentEx w15:paraId="4B43CC05" w15:paraIdParent="104F3F80" w15:done="1"/>
  <w15:commentEx w15:paraId="02F6B057" w15:done="1"/>
  <w15:commentEx w15:paraId="4CD7A8E3" w15:paraIdParent="02F6B057" w15:done="1"/>
  <w15:commentEx w15:paraId="0876D78D" w15:paraIdParent="02F6B057" w15:done="1"/>
  <w15:commentEx w15:paraId="5237E07D" w15:done="1"/>
  <w15:commentEx w15:paraId="44ABF1F4" w15:done="1"/>
  <w15:commentEx w15:paraId="04BF43B7" w15:done="1"/>
  <w15:commentEx w15:paraId="3895815F" w15:done="1"/>
  <w15:commentEx w15:paraId="5A90F4B3" w15:done="1"/>
  <w15:commentEx w15:paraId="0608530B" w15:done="1"/>
  <w15:commentEx w15:paraId="08668293" w15:done="1"/>
  <w15:commentEx w15:paraId="5FABF002" w15:paraIdParent="08668293" w15:done="1"/>
  <w15:commentEx w15:paraId="622355D1" w15:done="1"/>
  <w15:commentEx w15:paraId="00A00BA5" w15:done="1"/>
  <w15:commentEx w15:paraId="16EB6ED1" w15:done="1"/>
  <w15:commentEx w15:paraId="61071267" w15:done="1"/>
  <w15:commentEx w15:paraId="6759F3E3" w15:done="1"/>
  <w15:commentEx w15:paraId="00EE345E" w15:done="1"/>
  <w15:commentEx w15:paraId="4D5BB903" w15:done="1"/>
  <w15:commentEx w15:paraId="52D59124" w15:done="1"/>
  <w15:commentEx w15:paraId="662DEA57" w15:done="1"/>
  <w15:commentEx w15:paraId="0A840AC3" w15:done="1"/>
  <w15:commentEx w15:paraId="66D0DAEE" w15:done="1"/>
  <w15:commentEx w15:paraId="756BCBCD" w15:done="1"/>
  <w15:commentEx w15:paraId="5854FB5A" w15:done="1"/>
  <w15:commentEx w15:paraId="7D00D99F" w15:paraIdParent="5854FB5A" w15:done="1"/>
  <w15:commentEx w15:paraId="4F3B98A4" w15:done="1"/>
  <w15:commentEx w15:paraId="3C5BA977" w15:paraIdParent="4F3B98A4" w15:done="1"/>
  <w15:commentEx w15:paraId="3C140B7D" w15:done="1"/>
  <w15:commentEx w15:paraId="1781D5FB" w15:done="1"/>
  <w15:commentEx w15:paraId="6AFACA02" w15:paraIdParent="1781D5FB" w15:done="1"/>
  <w15:commentEx w15:paraId="3224A809" w15:done="1"/>
  <w15:commentEx w15:paraId="434F3E1B" w15:paraIdParent="3224A809" w15:done="1"/>
  <w15:commentEx w15:paraId="520E6DAB" w15:paraIdParent="3224A809" w15:done="1"/>
  <w15:commentEx w15:paraId="0E922D7D" w15:done="1"/>
  <w15:commentEx w15:paraId="18E7CB43" w15:done="1"/>
  <w15:commentEx w15:paraId="0F6D7B52" w15:done="1"/>
  <w15:commentEx w15:paraId="7620B22E" w15:done="1"/>
  <w15:commentEx w15:paraId="5F609428" w15:paraIdParent="7620B22E" w15:done="1"/>
  <w15:commentEx w15:paraId="1720AFB4" w15:done="1"/>
  <w15:commentEx w15:paraId="5C0158D1" w15:done="1"/>
  <w15:commentEx w15:paraId="3AB92E41" w15:done="1"/>
  <w15:commentEx w15:paraId="6D3055C4" w15:paraIdParent="3AB92E41" w15:done="1"/>
  <w15:commentEx w15:paraId="72573E74" w15:done="1"/>
  <w15:commentEx w15:paraId="1803EAE5" w15:done="1"/>
  <w15:commentEx w15:paraId="69570551" w15:done="1"/>
  <w15:commentEx w15:paraId="4A73E21F" w15:done="1"/>
  <w15:commentEx w15:paraId="29A9514B" w15:done="1"/>
  <w15:commentEx w15:paraId="5FA068A9" w15:paraIdParent="29A9514B" w15:done="1"/>
  <w15:commentEx w15:paraId="27DC0100" w15:paraIdParent="29A9514B" w15:done="1"/>
  <w15:commentEx w15:paraId="3E1F1C2A" w15:done="1"/>
  <w15:commentEx w15:paraId="7B74935A" w15:done="1"/>
  <w15:commentEx w15:paraId="4245DC41" w15:paraIdParent="7B74935A" w15:done="1"/>
  <w15:commentEx w15:paraId="0D1F8D7F" w15:done="1"/>
  <w15:commentEx w15:paraId="0E83F97C" w15:paraIdParent="0D1F8D7F" w15:done="1"/>
  <w15:commentEx w15:paraId="7806D44C" w15:paraIdParent="0D1F8D7F" w15:done="1"/>
  <w15:commentEx w15:paraId="390B680A" w15:done="1"/>
  <w15:commentEx w15:paraId="5A769C99" w15:done="1"/>
  <w15:commentEx w15:paraId="1362870E" w15:done="1"/>
  <w15:commentEx w15:paraId="45E3E606" w15:done="1"/>
  <w15:commentEx w15:paraId="52FC4806" w15:done="1"/>
  <w15:commentEx w15:paraId="3363F1D6" w15:done="1"/>
  <w15:commentEx w15:paraId="1454997B" w15:done="1"/>
  <w15:commentEx w15:paraId="0C90B643" w15:paraIdParent="1454997B" w15:done="1"/>
  <w15:commentEx w15:paraId="1E413DBF" w15:done="1"/>
  <w15:commentEx w15:paraId="6F7EC7A2" w15:done="1"/>
  <w15:commentEx w15:paraId="6DBD85FD" w15:done="1"/>
  <w15:commentEx w15:paraId="1ACA29BB" w15:done="1"/>
  <w15:commentEx w15:paraId="58AFB749" w15:done="1"/>
  <w15:commentEx w15:paraId="6053C604" w15:done="1"/>
  <w15:commentEx w15:paraId="08E05EF9" w15:paraIdParent="6053C604" w15:done="1"/>
  <w15:commentEx w15:paraId="22A82FEE" w15:done="1"/>
  <w15:commentEx w15:paraId="29437D27" w15:done="1"/>
  <w15:commentEx w15:paraId="1D2503C8" w15:done="1"/>
  <w15:commentEx w15:paraId="300ED57E" w15:paraIdParent="1D2503C8" w15:done="1"/>
  <w15:commentEx w15:paraId="44210157" w15:done="1"/>
  <w15:commentEx w15:paraId="413D33C8" w15:paraIdParent="44210157" w15:done="1"/>
  <w15:commentEx w15:paraId="63F85CF1" w15:done="1"/>
  <w15:commentEx w15:paraId="4A1268DC" w15:paraIdParent="63F85CF1" w15:done="1"/>
  <w15:commentEx w15:paraId="3F4D9B8F" w15:done="1"/>
  <w15:commentEx w15:paraId="1F559C69" w15:paraIdParent="3F4D9B8F" w15:done="1"/>
  <w15:commentEx w15:paraId="325E2B5B" w15:done="1"/>
  <w15:commentEx w15:paraId="61B21946" w15:done="1"/>
  <w15:commentEx w15:paraId="05B94B19" w15:done="1"/>
  <w15:commentEx w15:paraId="61412D33" w15:done="1"/>
  <w15:commentEx w15:paraId="1C6FEDD9" w15:paraIdParent="61412D33" w15:done="1"/>
  <w15:commentEx w15:paraId="0D045C07" w15:paraIdParent="61412D33" w15:done="1"/>
  <w15:commentEx w15:paraId="55486975" w15:done="1"/>
  <w15:commentEx w15:paraId="5602846B" w15:paraIdParent="55486975" w15:done="1"/>
  <w15:commentEx w15:paraId="5A03CCF7" w15:done="1"/>
  <w15:commentEx w15:paraId="5EDAF526" w15:done="1"/>
  <w15:commentEx w15:paraId="10FB8F58" w15:done="1"/>
  <w15:commentEx w15:paraId="1DB6E2F6" w15:paraIdParent="10FB8F58" w15:done="1"/>
  <w15:commentEx w15:paraId="0C2DAF7E" w15:done="1"/>
  <w15:commentEx w15:paraId="0106CDB1" w15:done="1"/>
  <w15:commentEx w15:paraId="7D0DBE63" w15:done="1"/>
  <w15:commentEx w15:paraId="67D5D768" w15:paraIdParent="7D0DBE63" w15:done="1"/>
  <w15:commentEx w15:paraId="0EE50260" w15:done="1"/>
  <w15:commentEx w15:paraId="39DA3140" w15:done="1"/>
  <w15:commentEx w15:paraId="02A03182" w15:paraIdParent="39DA3140" w15:done="1"/>
  <w15:commentEx w15:paraId="3227AEBB" w15:done="1"/>
  <w15:commentEx w15:paraId="37671912" w15:paraIdParent="3227AEBB" w15:done="1"/>
  <w15:commentEx w15:paraId="01AC0687" w15:done="1"/>
  <w15:commentEx w15:paraId="24A4C396" w15:done="1"/>
  <w15:commentEx w15:paraId="5FF01C32" w15:done="1"/>
  <w15:commentEx w15:paraId="197687AD" w15:done="1"/>
  <w15:commentEx w15:paraId="733FC5B2" w15:paraIdParent="197687AD" w15:done="1"/>
  <w15:commentEx w15:paraId="670CF1B4" w15:done="1"/>
  <w15:commentEx w15:paraId="76A17369" w15:paraIdParent="670CF1B4" w15:done="1"/>
  <w15:commentEx w15:paraId="58038E5B" w15:done="1"/>
  <w15:commentEx w15:paraId="0362E816" w15:done="1"/>
  <w15:commentEx w15:paraId="12D8B960" w15:done="1"/>
  <w15:commentEx w15:paraId="1F4C5E16" w15:paraIdParent="12D8B960" w15:done="1"/>
  <w15:commentEx w15:paraId="4FC22D09" w15:paraIdParent="12D8B960" w15:done="1"/>
  <w15:commentEx w15:paraId="67469134" w15:done="1"/>
  <w15:commentEx w15:paraId="61415B6C" w15:paraIdParent="67469134" w15:done="1"/>
  <w15:commentEx w15:paraId="47852AA6" w15:done="1"/>
  <w15:commentEx w15:paraId="5F9C817B" w15:done="1"/>
  <w15:commentEx w15:paraId="12203E7A" w15:paraIdParent="5F9C817B" w15:done="1"/>
  <w15:commentEx w15:paraId="7A098C48" w15:done="1"/>
  <w15:commentEx w15:paraId="7EA9C0B6" w15:done="1"/>
  <w15:commentEx w15:paraId="5152F5AF" w15:done="1"/>
  <w15:commentEx w15:paraId="76A8263E" w15:paraIdParent="5152F5AF" w15:done="1"/>
  <w15:commentEx w15:paraId="2BD01967" w15:done="1"/>
  <w15:commentEx w15:paraId="696B4813" w15:paraIdParent="2BD01967" w15:done="1"/>
  <w15:commentEx w15:paraId="53B901EE" w15:done="1"/>
  <w15:commentEx w15:paraId="3F12E6DF" w15:done="1"/>
  <w15:commentEx w15:paraId="532FCB5B" w15:done="1"/>
  <w15:commentEx w15:paraId="6B9953CC" w15:done="1"/>
  <w15:commentEx w15:paraId="7430AEF8" w15:done="1"/>
  <w15:commentEx w15:paraId="69A3E7B8" w15:done="1"/>
  <w15:commentEx w15:paraId="4FFD67F1" w15:paraIdParent="69A3E7B8" w15:done="1"/>
  <w15:commentEx w15:paraId="47896A2F" w15:paraIdParent="69A3E7B8" w15:done="1"/>
  <w15:commentEx w15:paraId="3026DCB8" w15:done="1"/>
  <w15:commentEx w15:paraId="5DEE3C95" w15:paraIdParent="3026DCB8" w15:done="1"/>
  <w15:commentEx w15:paraId="179713BF" w15:done="1"/>
  <w15:commentEx w15:paraId="19DD4448" w15:paraIdParent="179713BF" w15:done="1"/>
  <w15:commentEx w15:paraId="589132FB" w15:paraIdParent="179713BF" w15:done="1"/>
  <w15:commentEx w15:paraId="555DA332" w15:done="1"/>
  <w15:commentEx w15:paraId="044A911B" w15:paraIdParent="555DA332" w15:done="1"/>
  <w15:commentEx w15:paraId="3BAD676A" w15:done="1"/>
  <w15:commentEx w15:paraId="0665269A" w15:done="1"/>
  <w15:commentEx w15:paraId="7186944B" w15:done="1"/>
  <w15:commentEx w15:paraId="52F403D8" w15:paraIdParent="7186944B" w15:done="1"/>
  <w15:commentEx w15:paraId="76446662" w15:done="1"/>
  <w15:commentEx w15:paraId="3918B38A" w15:done="1"/>
  <w15:commentEx w15:paraId="03AC8B61" w15:done="1"/>
  <w15:commentEx w15:paraId="0D6BBE57" w15:done="1"/>
  <w15:commentEx w15:paraId="7971C89F" w15:done="1"/>
  <w15:commentEx w15:paraId="1D2A84BC" w15:done="1"/>
  <w15:commentEx w15:paraId="502CA204" w15:done="1"/>
  <w15:commentEx w15:paraId="5B504726" w15:done="1"/>
  <w15:commentEx w15:paraId="23CB2906" w15:done="1"/>
  <w15:commentEx w15:paraId="276B342F" w15:done="1"/>
  <w15:commentEx w15:paraId="46E06C90" w15:done="1"/>
  <w15:commentEx w15:paraId="7D9CE30B" w15:done="1"/>
  <w15:commentEx w15:paraId="06BF1110" w15:done="1"/>
  <w15:commentEx w15:paraId="39F1FE80" w15:done="1"/>
  <w15:commentEx w15:paraId="13BD4EA4" w15:paraIdParent="39F1FE80" w15:done="1"/>
  <w15:commentEx w15:paraId="607EB0C2" w15:done="1"/>
  <w15:commentEx w15:paraId="774FF1BE" w15:paraIdParent="607EB0C2" w15:done="1"/>
  <w15:commentEx w15:paraId="50F9FC1C" w15:done="1"/>
  <w15:commentEx w15:paraId="2149A234" w15:done="1"/>
  <w15:commentEx w15:paraId="20E06B2D" w15:done="1"/>
  <w15:commentEx w15:paraId="5C7C5F5C" w15:paraIdParent="20E06B2D" w15:done="1"/>
  <w15:commentEx w15:paraId="2A63273D" w15:done="1"/>
  <w15:commentEx w15:paraId="38E50855" w15:paraIdParent="2A63273D" w15:done="1"/>
  <w15:commentEx w15:paraId="457D6F0F" w15:done="1"/>
  <w15:commentEx w15:paraId="781A658B" w15:done="1"/>
  <w15:commentEx w15:paraId="27B67032" w15:paraIdParent="781A658B" w15:done="1"/>
  <w15:commentEx w15:paraId="1CFAFAD1" w15:done="1"/>
  <w15:commentEx w15:paraId="6374F6CB" w15:done="0"/>
  <w15:commentEx w15:paraId="192CC5E8" w15:done="0"/>
  <w15:commentEx w15:paraId="65B107EE" w15:done="0"/>
  <w15:commentEx w15:paraId="77031A65" w15:done="0"/>
  <w15:commentEx w15:paraId="40B94219" w15:done="0"/>
  <w15:commentEx w15:paraId="1E298882" w15:done="0"/>
  <w15:commentEx w15:paraId="4A9FF57E" w15:done="0"/>
  <w15:commentEx w15:paraId="7599CBD2" w15:done="0"/>
  <w15:commentEx w15:paraId="282D2A75" w15:paraIdParent="7599CBD2" w15:done="0"/>
  <w15:commentEx w15:paraId="67C28505" w15:done="0"/>
  <w15:commentEx w15:paraId="2C760BB3" w15:done="0"/>
  <w15:commentEx w15:paraId="47ABA7AC" w15:done="0"/>
  <w15:commentEx w15:paraId="1F4C3C91" w15:done="0"/>
  <w15:commentEx w15:paraId="4ABC3A4D" w15:done="0"/>
  <w15:commentEx w15:paraId="32157B95" w15:done="0"/>
  <w15:commentEx w15:paraId="7D32D44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AB4E59" w16cex:dateUtc="2023-03-03T00:33:00Z"/>
  <w16cex:commentExtensible w16cex:durableId="278C9321" w16cex:dateUtc="2023-02-07T17:06:00Z"/>
  <w16cex:commentExtensible w16cex:durableId="2799BE30" w16cex:dateUtc="2023-01-03T18:53:00Z"/>
  <w16cex:commentExtensible w16cex:durableId="279632B0" w16cex:dateUtc="2023-02-15T00:17:00Z"/>
  <w16cex:commentExtensible w16cex:durableId="27AAEDBA" w16cex:dateUtc="2023-03-02T17:41:00Z"/>
  <w16cex:commentExtensible w16cex:durableId="2799BE2F" w16cex:dateUtc="2023-02-02T21:30:00Z"/>
  <w16cex:commentExtensible w16cex:durableId="2799BE31" w16cex:dateUtc="2023-02-17T16:43:00Z"/>
  <w16cex:commentExtensible w16cex:durableId="27B5CC54" w16cex:dateUtc="2023-03-10T23:33:00Z"/>
  <w16cex:commentExtensible w16cex:durableId="278C9311" w16cex:dateUtc="2023-02-07T17:06:00Z"/>
  <w16cex:commentExtensible w16cex:durableId="278C9901" w16cex:dateUtc="2023-02-07T17:31:00Z"/>
  <w16cex:commentExtensible w16cex:durableId="27B5CC6D" w16cex:dateUtc="2023-03-10T23:34:00Z"/>
  <w16cex:commentExtensible w16cex:durableId="27B5CC6F" w16cex:dateUtc="2023-03-10T23:34:00Z"/>
  <w16cex:commentExtensible w16cex:durableId="27B5CC70" w16cex:dateUtc="2023-03-10T23:34:00Z"/>
  <w16cex:commentExtensible w16cex:durableId="27AAED61" w16cex:dateUtc="2023-03-02T17:39:00Z"/>
  <w16cex:commentExtensible w16cex:durableId="27B5CCBA" w16cex:dateUtc="2023-03-10T23:35:00Z"/>
  <w16cex:commentExtensible w16cex:durableId="27A307F5" w16cex:dateUtc="2023-02-24T17:55:00Z"/>
  <w16cex:commentExtensible w16cex:durableId="27876F5C" w16cex:dateUtc="2023-02-03T19:32:00Z"/>
  <w16cex:commentExtensible w16cex:durableId="278C99A5" w16cex:dateUtc="2023-02-07T17:34:00Z"/>
  <w16cex:commentExtensible w16cex:durableId="27B5CD10" w16cex:dateUtc="2023-03-10T23:36:00Z"/>
  <w16cex:commentExtensible w16cex:durableId="27B5CD11" w16cex:dateUtc="2023-03-10T23:36:00Z"/>
  <w16cex:commentExtensible w16cex:durableId="27B5CD65" w16cex:dateUtc="2023-03-10T23:38:00Z"/>
  <w16cex:commentExtensible w16cex:durableId="278C9F96" w16cex:dateUtc="2023-02-03T23:35:00Z"/>
  <w16cex:commentExtensible w16cex:durableId="279E1FBA" w16cex:dateUtc="2023-02-20T23:35:00Z"/>
  <w16cex:commentExtensible w16cex:durableId="27B5CD94" w16cex:dateUtc="2023-03-10T23:39:00Z"/>
  <w16cex:commentExtensible w16cex:durableId="27B5CA25" w16cex:dateUtc="2023-03-10T23:24:00Z"/>
  <w16cex:commentExtensible w16cex:durableId="27B5CDA9" w16cex:dateUtc="2023-03-10T23:39:00Z"/>
  <w16cex:commentExtensible w16cex:durableId="27B5CA5D" w16cex:dateUtc="2023-03-10T23:25:00Z"/>
  <w16cex:commentExtensible w16cex:durableId="27971B0F" w16cex:dateUtc="2023-02-15T16:49:00Z"/>
  <w16cex:commentExtensible w16cex:durableId="279E213A" w16cex:dateUtc="2023-02-20T23:41:00Z"/>
  <w16cex:commentExtensible w16cex:durableId="27AAEE0D" w16cex:dateUtc="2023-03-02T17:42:00Z"/>
  <w16cex:commentExtensible w16cex:durableId="27B5CE0D" w16cex:dateUtc="2023-03-10T23:41:00Z"/>
  <w16cex:commentExtensible w16cex:durableId="27B5CE6F" w16cex:dateUtc="2023-03-10T23:42:00Z"/>
  <w16cex:commentExtensible w16cex:durableId="27B5CF44" w16cex:dateUtc="2023-03-10T23:46:00Z"/>
  <w16cex:commentExtensible w16cex:durableId="27B9838F" w16cex:dateUtc="2023-03-13T18:12:00Z"/>
  <w16cex:commentExtensible w16cex:durableId="27A0C26F" w16cex:dateUtc="2023-02-09T22:19:00Z"/>
  <w16cex:commentExtensible w16cex:durableId="27B5D0DF" w16cex:dateUtc="2023-03-10T23:53:00Z"/>
  <w16cex:commentExtensible w16cex:durableId="27B5D10F" w16cex:dateUtc="2023-03-10T23:53:00Z"/>
  <w16cex:commentExtensible w16cex:durableId="27B0683B" w16cex:dateUtc="2023-03-06T21:25:00Z"/>
  <w16cex:commentExtensible w16cex:durableId="27B06877" w16cex:dateUtc="2023-03-06T21:26:00Z"/>
  <w16cex:commentExtensible w16cex:durableId="27B5D16F" w16cex:dateUtc="2023-03-10T23:55:00Z"/>
  <w16cex:commentExtensible w16cex:durableId="27B5D170" w16cex:dateUtc="2023-03-10T23:55:00Z"/>
  <w16cex:commentExtensible w16cex:durableId="27B5D1C0" w16cex:dateUtc="2023-03-10T23:56:00Z"/>
  <w16cex:commentExtensible w16cex:durableId="27A0AFD1" w16cex:dateUtc="2023-02-07T17:37:00Z"/>
  <w16cex:commentExtensible w16cex:durableId="27B5D1E7" w16cex:dateUtc="2023-03-10T23:57:00Z"/>
  <w16cex:commentExtensible w16cex:durableId="27B5D1E8" w16cex:dateUtc="2023-03-10T23:57:00Z"/>
  <w16cex:commentExtensible w16cex:durableId="27A0B5F9" w16cex:dateUtc="2023-02-09T22:12:00Z"/>
  <w16cex:commentExtensible w16cex:durableId="2799C514" w16cex:dateUtc="2023-02-17T17:19:00Z"/>
  <w16cex:commentExtensible w16cex:durableId="279F76CC" w16cex:dateUtc="2023-02-22T00:58:00Z"/>
  <w16cex:commentExtensible w16cex:durableId="2799C515" w16cex:dateUtc="2023-02-17T17:19:00Z"/>
  <w16cex:commentExtensible w16cex:durableId="279FB2CC" w16cex:dateUtc="2023-02-22T05:14:00Z"/>
  <w16cex:commentExtensible w16cex:durableId="279FB2BE" w16cex:dateUtc="2023-02-03T18:57:00Z"/>
  <w16cex:commentExtensible w16cex:durableId="279FB305" w16cex:dateUtc="2023-02-22T05:15:00Z"/>
  <w16cex:commentExtensible w16cex:durableId="27B5D25F" w16cex:dateUtc="2023-03-10T23:59:00Z"/>
  <w16cex:commentExtensible w16cex:durableId="27B5D28B" w16cex:dateUtc="2023-03-11T00:00:00Z"/>
  <w16cex:commentExtensible w16cex:durableId="27B5D2C7" w16cex:dateUtc="2023-03-11T00:01:00Z"/>
  <w16cex:commentExtensible w16cex:durableId="27B5D2ED" w16cex:dateUtc="2023-03-11T00:01:00Z"/>
  <w16cex:commentExtensible w16cex:durableId="27B5D2EE" w16cex:dateUtc="2023-03-11T00:01:00Z"/>
  <w16cex:commentExtensible w16cex:durableId="27B5D31F" w16cex:dateUtc="2023-03-11T00:02:00Z"/>
  <w16cex:commentExtensible w16cex:durableId="27B5D320" w16cex:dateUtc="2023-03-11T00:02:00Z"/>
  <w16cex:commentExtensible w16cex:durableId="27B5D322" w16cex:dateUtc="2023-03-11T00:02:00Z"/>
  <w16cex:commentExtensible w16cex:durableId="279FB3E5" w16cex:dateUtc="2023-02-22T05:19:00Z"/>
  <w16cex:commentExtensible w16cex:durableId="279FB44E" w16cex:dateUtc="2023-02-22T05:21:00Z"/>
  <w16cex:commentExtensible w16cex:durableId="27A0BCD5" w16cex:dateUtc="2023-02-09T22:12:00Z"/>
  <w16cex:commentExtensible w16cex:durableId="278F54A1" w16cex:dateUtc="2023-02-09T18:16:00Z"/>
  <w16cex:commentExtensible w16cex:durableId="278F567B" w16cex:dateUtc="2023-02-09T18:24:00Z"/>
  <w16cex:commentExtensible w16cex:durableId="27A3083F" w16cex:dateUtc="2023-02-24T17:56:00Z"/>
  <w16cex:commentExtensible w16cex:durableId="27B5D43B" w16cex:dateUtc="2023-03-11T00:07:00Z"/>
  <w16cex:commentExtensible w16cex:durableId="27B5D4A2" w16cex:dateUtc="2023-03-11T00:09:00Z"/>
  <w16cex:commentExtensible w16cex:durableId="27B5D4B2" w16cex:dateUtc="2023-03-11T00:09:00Z"/>
  <w16cex:commentExtensible w16cex:durableId="27B5D4E7" w16cex:dateUtc="2023-03-11T00:10:00Z"/>
  <w16cex:commentExtensible w16cex:durableId="27B5D545" w16cex:dateUtc="2023-03-11T00:11:00Z"/>
  <w16cex:commentExtensible w16cex:durableId="27B5D546" w16cex:dateUtc="2023-03-11T00:11:00Z"/>
  <w16cex:commentExtensible w16cex:durableId="279F481F" w16cex:dateUtc="2023-02-02T21:37:00Z"/>
  <w16cex:commentExtensible w16cex:durableId="27AB4E7A" w16cex:dateUtc="2023-03-03T00:34:00Z"/>
  <w16cex:commentExtensible w16cex:durableId="277A3DF8" w16cex:dateUtc="2023-01-24T19:22:00Z"/>
  <w16cex:commentExtensible w16cex:durableId="27442739" w16cex:dateUtc="2022-12-14T17:43:00Z"/>
  <w16cex:commentExtensible w16cex:durableId="2767E783" w16cex:dateUtc="2023-01-10T21:32:00Z"/>
  <w16cex:commentExtensible w16cex:durableId="2799BE2C" w16cex:dateUtc="2023-01-17T18:59:00Z"/>
  <w16cex:commentExtensible w16cex:durableId="2799BE2B" w16cex:dateUtc="2023-01-26T19:39:00Z"/>
  <w16cex:commentExtensible w16cex:durableId="2799BE29" w16cex:dateUtc="2022-12-29T18:28:00Z"/>
  <w16cex:commentExtensible w16cex:durableId="2799BE28" w16cex:dateUtc="2023-01-10T21:35:00Z"/>
  <w16cex:commentExtensible w16cex:durableId="2799BE27" w16cex:dateUtc="2023-01-17T19:05:00Z"/>
  <w16cex:commentExtensible w16cex:durableId="277100DE" w16cex:dateUtc="2023-01-17T19:11:00Z"/>
  <w16cex:commentExtensible w16cex:durableId="277CE8C8" w16cex:dateUtc="2023-01-26T19:55:00Z"/>
  <w16cex:commentExtensible w16cex:durableId="27442921" w16cex:dateUtc="2022-12-14T17:51:00Z"/>
  <w16cex:commentExtensible w16cex:durableId="2767E8D7" w16cex:dateUtc="2023-01-10T21:38:00Z"/>
  <w16cex:commentExtensible w16cex:durableId="2799BE26" w16cex:dateUtc="2023-01-03T19:15:00Z"/>
  <w16cex:commentExtensible w16cex:durableId="274428E7" w16cex:dateUtc="2022-12-14T17:50:00Z"/>
  <w16cex:commentExtensible w16cex:durableId="27B5D59D" w16cex:dateUtc="2023-03-11T00:13:00Z"/>
  <w16cex:commentExtensible w16cex:durableId="27B5D59E" w16cex:dateUtc="2023-03-11T00:13:00Z"/>
  <w16cex:commentExtensible w16cex:durableId="2799BE25" w16cex:dateUtc="2023-01-17T19:14:00Z"/>
  <w16cex:commentExtensible w16cex:durableId="2799BE23" w16cex:dateUtc="2023-02-03T23:43:00Z"/>
  <w16cex:commentExtensible w16cex:durableId="2799BE22" w16cex:dateUtc="2023-02-03T23:43:00Z"/>
  <w16cex:commentExtensible w16cex:durableId="27695E39" w16cex:dateUtc="2023-01-12T00:11:00Z"/>
  <w16cex:commentExtensible w16cex:durableId="2799BE21" w16cex:dateUtc="2022-12-27T21:52:00Z"/>
  <w16cex:commentExtensible w16cex:durableId="2799BE20" w16cex:dateUtc="2023-01-10T21:55:00Z"/>
  <w16cex:commentExtensible w16cex:durableId="276ABBC4" w16cex:dateUtc="2023-01-13T01:03:00Z"/>
  <w16cex:commentExtensible w16cex:durableId="27442BB7" w16cex:dateUtc="2022-12-14T18:02:00Z"/>
  <w16cex:commentExtensible w16cex:durableId="2768150B" w16cex:dateUtc="2023-01-11T00:47:00Z"/>
  <w16cex:commentExtensible w16cex:durableId="27B5D647" w16cex:dateUtc="2023-03-11T00:16:00Z"/>
  <w16cex:commentExtensible w16cex:durableId="27B5D648" w16cex:dateUtc="2023-03-11T00:16:00Z"/>
  <w16cex:commentExtensible w16cex:durableId="27442BE8" w16cex:dateUtc="2022-12-14T18:03:00Z"/>
  <w16cex:commentExtensible w16cex:durableId="27681589" w16cex:dateUtc="2023-01-11T00:49:00Z"/>
  <w16cex:commentExtensible w16cex:durableId="276815CD" w16cex:dateUtc="2023-01-11T00:50:00Z"/>
  <w16cex:commentExtensible w16cex:durableId="27B5D735" w16cex:dateUtc="2023-03-11T00:20:00Z"/>
  <w16cex:commentExtensible w16cex:durableId="27B5D736" w16cex:dateUtc="2023-03-11T00:20:00Z"/>
  <w16cex:commentExtensible w16cex:durableId="277938A0" w16cex:dateUtc="2023-01-24T00:47:00Z"/>
  <w16cex:commentExtensible w16cex:durableId="27710574" w16cex:dateUtc="2023-01-17T19:31:00Z"/>
  <w16cex:commentExtensible w16cex:durableId="27865E89" w16cex:dateUtc="2023-02-03T00:08:00Z"/>
  <w16cex:commentExtensible w16cex:durableId="27442F95" w16cex:dateUtc="2022-12-14T18:18:00Z"/>
  <w16cex:commentExtensible w16cex:durableId="27681615" w16cex:dateUtc="2023-01-11T00:51:00Z"/>
  <w16cex:commentExtensible w16cex:durableId="2799BE1D" w16cex:dateUtc="2023-01-24T23:29:00Z"/>
  <w16cex:commentExtensible w16cex:durableId="277A64ED" w16cex:dateUtc="2023-01-24T22:08:00Z"/>
  <w16cex:commentExtensible w16cex:durableId="2799BE1C" w16cex:dateUtc="2023-02-02T21:25:00Z"/>
  <w16cex:commentExtensible w16cex:durableId="2799BE1B" w16cex:dateUtc="2023-02-02T21:29:00Z"/>
  <w16cex:commentExtensible w16cex:durableId="278FA11A" w16cex:dateUtc="2023-02-10T00:43:00Z"/>
  <w16cex:commentExtensible w16cex:durableId="2799BE1A" w16cex:dateUtc="2023-02-02T21:37:00Z"/>
  <w16cex:commentExtensible w16cex:durableId="2799BE18" w16cex:dateUtc="2023-02-08T18:04:00Z"/>
  <w16cex:commentExtensible w16cex:durableId="2799BE17" w16cex:dateUtc="2023-02-14T19:45:00Z"/>
  <w16cex:commentExtensible w16cex:durableId="2799BE14" w16cex:dateUtc="2023-02-02T21:33:00Z"/>
  <w16cex:commentExtensible w16cex:durableId="2799BE13" w16cex:dateUtc="2023-02-14T18:03:00Z"/>
  <w16cex:commentExtensible w16cex:durableId="278FA17E" w16cex:dateUtc="2023-02-08T19:22:00Z"/>
  <w16cex:commentExtensible w16cex:durableId="278F955D" w16cex:dateUtc="2023-02-09T22:53:00Z"/>
  <w16cex:commentExtensible w16cex:durableId="279715BD" w16cex:dateUtc="2023-02-15T16:26:00Z"/>
  <w16cex:commentExtensible w16cex:durableId="2799BE12" w16cex:dateUtc="2023-02-10T00:20:00Z"/>
  <w16cex:commentExtensible w16cex:durableId="279628E1" w16cex:dateUtc="2023-02-14T23:36:00Z"/>
  <w16cex:commentExtensible w16cex:durableId="278F6087" w16cex:dateUtc="2023-02-09T19:07:00Z"/>
  <w16cex:commentExtensible w16cex:durableId="27971497" w16cex:dateUtc="2023-02-15T16:21:00Z"/>
  <w16cex:commentExtensible w16cex:durableId="278F7462" w16cex:dateUtc="2023-02-09T20:32:00Z"/>
  <w16cex:commentExtensible w16cex:durableId="278F9305" w16cex:dateUtc="2023-02-09T22:43:00Z"/>
  <w16cex:commentExtensible w16cex:durableId="27961499" w16cex:dateUtc="2023-02-14T21:09:00Z"/>
  <w16cex:commentExtensible w16cex:durableId="2796149A" w16cex:dateUtc="2023-02-14T21:09:00Z"/>
  <w16cex:commentExtensible w16cex:durableId="2796149B" w16cex:dateUtc="2023-02-14T21:09:00Z"/>
  <w16cex:commentExtensible w16cex:durableId="2796149C" w16cex:dateUtc="2023-02-14T21:09:00Z"/>
  <w16cex:commentExtensible w16cex:durableId="2796159B" w16cex:dateUtc="2023-02-14T21:13:00Z"/>
  <w16cex:commentExtensible w16cex:durableId="27AB41A7" w16cex:dateUtc="2023-03-02T23:39:00Z"/>
  <w16cex:commentExtensible w16cex:durableId="27B5D85F" w16cex:dateUtc="2023-03-11T00:25:00Z"/>
  <w16cex:commentExtensible w16cex:durableId="27AAF125" w16cex:dateUtc="2023-03-02T17:55:00Z"/>
  <w16cex:commentExtensible w16cex:durableId="2799F7FB" w16cex:dateUtc="2023-02-17T20:56:00Z"/>
  <w16cex:commentExtensible w16cex:durableId="2799BE10" w16cex:dateUtc="2023-01-03T17:44:00Z"/>
  <w16cex:commentExtensible w16cex:durableId="2799F7FF" w16cex:dateUtc="2023-02-17T20:56:00Z"/>
  <w16cex:commentExtensible w16cex:durableId="27AAF6B1" w16cex:dateUtc="2023-03-02T18:19:00Z"/>
  <w16cex:commentExtensible w16cex:durableId="276B9D73" w16cex:dateUtc="2023-01-13T17:05:00Z"/>
  <w16cex:commentExtensible w16cex:durableId="2799F7CC" w16cex:dateUtc="2023-02-17T20:55:00Z"/>
  <w16cex:commentExtensible w16cex:durableId="276B9D35" w16cex:dateUtc="2023-01-13T17:04:00Z"/>
  <w16cex:commentExtensible w16cex:durableId="278650E7" w16cex:dateUtc="2023-02-02T23:10:00Z"/>
  <w16cex:commentExtensible w16cex:durableId="2799BE0F" w16cex:dateUtc="2023-01-11T18:18:00Z"/>
  <w16cex:commentExtensible w16cex:durableId="2799F751" w16cex:dateUtc="2023-02-17T20:53:00Z"/>
  <w16cex:commentExtensible w16cex:durableId="27AC559D" w16cex:dateUtc="2023-03-03T19:16:00Z"/>
  <w16cex:commentExtensible w16cex:durableId="27AC5596" w16cex:dateUtc="2023-03-03T19:16:00Z"/>
  <w16cex:commentExtensible w16cex:durableId="27AC5394" w16cex:dateUtc="2023-03-03T19:04:00Z"/>
  <w16cex:commentExtensible w16cex:durableId="27AC558B" w16cex:dateUtc="2023-03-03T19:16:00Z"/>
  <w16cex:commentExtensible w16cex:durableId="279A04C5" w16cex:dateUtc="2023-02-17T21:51:00Z"/>
  <w16cex:commentExtensible w16cex:durableId="27AC53F8" w16cex:dateUtc="2023-03-03T19:09:00Z"/>
  <w16cex:commentExtensible w16cex:durableId="27AC5525" w16cex:dateUtc="2023-03-03T19:14:00Z"/>
  <w16cex:commentExtensible w16cex:durableId="279A0F19" w16cex:dateUtc="2023-02-17T22:35:00Z"/>
  <w16cex:commentExtensible w16cex:durableId="27AC5AE2" w16cex:dateUtc="2023-03-03T19:39:00Z"/>
  <w16cex:commentExtensible w16cex:durableId="27AC5C3C" w16cex:dateUtc="2023-03-03T19:45:00Z"/>
  <w16cex:commentExtensible w16cex:durableId="27AC5C8C" w16cex:dateUtc="2023-03-03T19:46:00Z"/>
  <w16cex:commentExtensible w16cex:durableId="27AC5CE9" w16cex:dateUtc="2023-03-03T19:47:00Z"/>
  <w16cex:commentExtensible w16cex:durableId="27AC5D45" w16cex:dateUtc="2023-03-03T19:49:00Z"/>
  <w16cex:commentExtensible w16cex:durableId="27AC5D6D" w16cex:dateUtc="2023-03-03T19: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EED726D" w16cid:durableId="27AB4E59"/>
  <w16cid:commentId w16cid:paraId="264BAF0E" w16cid:durableId="278C9321"/>
  <w16cid:commentId w16cid:paraId="408785A0" w16cid:durableId="2799BE30"/>
  <w16cid:commentId w16cid:paraId="61D60564" w16cid:durableId="279632B0"/>
  <w16cid:commentId w16cid:paraId="6A99C06A" w16cid:durableId="27AAEDBA"/>
  <w16cid:commentId w16cid:paraId="2777A2B6" w16cid:durableId="2799BE2F"/>
  <w16cid:commentId w16cid:paraId="33A9F1CA" w16cid:durableId="2799BE31"/>
  <w16cid:commentId w16cid:paraId="3D375F49" w16cid:durableId="27B5CC54"/>
  <w16cid:commentId w16cid:paraId="104F3F80" w16cid:durableId="278C9311"/>
  <w16cid:commentId w16cid:paraId="4B43CC05" w16cid:durableId="278C9901"/>
  <w16cid:commentId w16cid:paraId="02F6B057" w16cid:durableId="27B5CC6D"/>
  <w16cid:commentId w16cid:paraId="4CD7A8E3" w16cid:durableId="27B5CC6F"/>
  <w16cid:commentId w16cid:paraId="0876D78D" w16cid:durableId="27B5CC70"/>
  <w16cid:commentId w16cid:paraId="5237E07D" w16cid:durableId="27AAED61"/>
  <w16cid:commentId w16cid:paraId="44ABF1F4" w16cid:durableId="27B5CCBA"/>
  <w16cid:commentId w16cid:paraId="04BF43B7" w16cid:durableId="27A307F5"/>
  <w16cid:commentId w16cid:paraId="3895815F" w16cid:durableId="27876F5C"/>
  <w16cid:commentId w16cid:paraId="5A90F4B3" w16cid:durableId="278C99A5"/>
  <w16cid:commentId w16cid:paraId="0608530B" w16cid:durableId="27A0781C"/>
  <w16cid:commentId w16cid:paraId="08668293" w16cid:durableId="27B5CD10"/>
  <w16cid:commentId w16cid:paraId="5FABF002" w16cid:durableId="27B5CD11"/>
  <w16cid:commentId w16cid:paraId="622355D1" w16cid:durableId="27B5CD65"/>
  <w16cid:commentId w16cid:paraId="00A00BA5" w16cid:durableId="278C9F96"/>
  <w16cid:commentId w16cid:paraId="16EB6ED1" w16cid:durableId="279E1FBA"/>
  <w16cid:commentId w16cid:paraId="61071267" w16cid:durableId="27B5CD94"/>
  <w16cid:commentId w16cid:paraId="6759F3E3" w16cid:durableId="27B5CA25"/>
  <w16cid:commentId w16cid:paraId="00EE345E" w16cid:durableId="27B5CDA9"/>
  <w16cid:commentId w16cid:paraId="4D5BB903" w16cid:durableId="27B5CA5D"/>
  <w16cid:commentId w16cid:paraId="52D59124" w16cid:durableId="27971B0F"/>
  <w16cid:commentId w16cid:paraId="662DEA57" w16cid:durableId="279E213A"/>
  <w16cid:commentId w16cid:paraId="0A840AC3" w16cid:durableId="27AAEE0D"/>
  <w16cid:commentId w16cid:paraId="66D0DAEE" w16cid:durableId="27B5CE0D"/>
  <w16cid:commentId w16cid:paraId="756BCBCD" w16cid:durableId="27B5CE6F"/>
  <w16cid:commentId w16cid:paraId="5854FB5A" w16cid:durableId="27B5CF44"/>
  <w16cid:commentId w16cid:paraId="7D00D99F" w16cid:durableId="27B9838F"/>
  <w16cid:commentId w16cid:paraId="4F3B98A4" w16cid:durableId="27A0C26F"/>
  <w16cid:commentId w16cid:paraId="3C5BA977" w16cid:durableId="27B5D0DF"/>
  <w16cid:commentId w16cid:paraId="3C140B7D" w16cid:durableId="27B5D10F"/>
  <w16cid:commentId w16cid:paraId="1781D5FB" w16cid:durableId="27B0683B"/>
  <w16cid:commentId w16cid:paraId="6AFACA02" w16cid:durableId="27B06877"/>
  <w16cid:commentId w16cid:paraId="3224A809" w16cid:durableId="27B5D16F"/>
  <w16cid:commentId w16cid:paraId="434F3E1B" w16cid:durableId="27B5D170"/>
  <w16cid:commentId w16cid:paraId="520E6DAB" w16cid:durableId="27B5D1C0"/>
  <w16cid:commentId w16cid:paraId="0E922D7D" w16cid:durableId="279F7374"/>
  <w16cid:commentId w16cid:paraId="18E7CB43" w16cid:durableId="279F5495"/>
  <w16cid:commentId w16cid:paraId="0F6D7B52" w16cid:durableId="27A0AFD1"/>
  <w16cid:commentId w16cid:paraId="7620B22E" w16cid:durableId="27B5D1E7"/>
  <w16cid:commentId w16cid:paraId="5F609428" w16cid:durableId="27B5D1E8"/>
  <w16cid:commentId w16cid:paraId="1720AFB4" w16cid:durableId="27A0B5F9"/>
  <w16cid:commentId w16cid:paraId="5C0158D1" w16cid:durableId="27A0B01F"/>
  <w16cid:commentId w16cid:paraId="3AB92E41" w16cid:durableId="2799C514"/>
  <w16cid:commentId w16cid:paraId="6D3055C4" w16cid:durableId="279F76CC"/>
  <w16cid:commentId w16cid:paraId="72573E74" w16cid:durableId="2799C515"/>
  <w16cid:commentId w16cid:paraId="1803EAE5" w16cid:durableId="278DEB7F"/>
  <w16cid:commentId w16cid:paraId="69570551" w16cid:durableId="279FB2CC"/>
  <w16cid:commentId w16cid:paraId="4A73E21F" w16cid:durableId="279FB2BE"/>
  <w16cid:commentId w16cid:paraId="29A9514B" w16cid:durableId="279FB305"/>
  <w16cid:commentId w16cid:paraId="5FA068A9" w16cid:durableId="27B5D25F"/>
  <w16cid:commentId w16cid:paraId="27DC0100" w16cid:durableId="27B5D28B"/>
  <w16cid:commentId w16cid:paraId="3E1F1C2A" w16cid:durableId="27B5D2C7"/>
  <w16cid:commentId w16cid:paraId="7B74935A" w16cid:durableId="27B5D2ED"/>
  <w16cid:commentId w16cid:paraId="4245DC41" w16cid:durableId="27B5D2EE"/>
  <w16cid:commentId w16cid:paraId="0D1F8D7F" w16cid:durableId="27B5D31F"/>
  <w16cid:commentId w16cid:paraId="0E83F97C" w16cid:durableId="27B5D320"/>
  <w16cid:commentId w16cid:paraId="7806D44C" w16cid:durableId="27B5D322"/>
  <w16cid:commentId w16cid:paraId="390B680A" w16cid:durableId="279FB3E5"/>
  <w16cid:commentId w16cid:paraId="5A769C99" w16cid:durableId="279FB44E"/>
  <w16cid:commentId w16cid:paraId="1362870E" w16cid:durableId="279FB441"/>
  <w16cid:commentId w16cid:paraId="45E3E606" w16cid:durableId="279FB440"/>
  <w16cid:commentId w16cid:paraId="52FC4806" w16cid:durableId="279FB43F"/>
  <w16cid:commentId w16cid:paraId="3363F1D6" w16cid:durableId="27A0BCD5"/>
  <w16cid:commentId w16cid:paraId="1454997B" w16cid:durableId="278F54A1"/>
  <w16cid:commentId w16cid:paraId="0C90B643" w16cid:durableId="278F567B"/>
  <w16cid:commentId w16cid:paraId="1E413DBF" w16cid:durableId="27A3083F"/>
  <w16cid:commentId w16cid:paraId="6F7EC7A2" w16cid:durableId="27B5D43B"/>
  <w16cid:commentId w16cid:paraId="6DBD85FD" w16cid:durableId="27B5D4A2"/>
  <w16cid:commentId w16cid:paraId="1ACA29BB" w16cid:durableId="27B5D4B2"/>
  <w16cid:commentId w16cid:paraId="58AFB749" w16cid:durableId="27B5D4E7"/>
  <w16cid:commentId w16cid:paraId="6053C604" w16cid:durableId="27B5D545"/>
  <w16cid:commentId w16cid:paraId="08E05EF9" w16cid:durableId="27B5D546"/>
  <w16cid:commentId w16cid:paraId="22A82FEE" w16cid:durableId="279F481F"/>
  <w16cid:commentId w16cid:paraId="29437D27" w16cid:durableId="27AB4E7A"/>
  <w16cid:commentId w16cid:paraId="1D2503C8" w16cid:durableId="276C156F"/>
  <w16cid:commentId w16cid:paraId="300ED57E" w16cid:durableId="277A3DF8"/>
  <w16cid:commentId w16cid:paraId="44210157" w16cid:durableId="27442739"/>
  <w16cid:commentId w16cid:paraId="413D33C8" w16cid:durableId="2767E783"/>
  <w16cid:commentId w16cid:paraId="63F85CF1" w16cid:durableId="2799BE2C"/>
  <w16cid:commentId w16cid:paraId="4A1268DC" w16cid:durableId="2799BE2B"/>
  <w16cid:commentId w16cid:paraId="3F4D9B8F" w16cid:durableId="2799BE29"/>
  <w16cid:commentId w16cid:paraId="1F559C69" w16cid:durableId="2799BE28"/>
  <w16cid:commentId w16cid:paraId="325E2B5B" w16cid:durableId="2799BE27"/>
  <w16cid:commentId w16cid:paraId="61B21946" w16cid:durableId="276C1577"/>
  <w16cid:commentId w16cid:paraId="05B94B19" w16cid:durableId="27879B42"/>
  <w16cid:commentId w16cid:paraId="61412D33" w16cid:durableId="276C1578"/>
  <w16cid:commentId w16cid:paraId="1C6FEDD9" w16cid:durableId="277100DE"/>
  <w16cid:commentId w16cid:paraId="0D045C07" w16cid:durableId="277CE8C8"/>
  <w16cid:commentId w16cid:paraId="55486975" w16cid:durableId="27442921"/>
  <w16cid:commentId w16cid:paraId="5602846B" w16cid:durableId="2767E8D7"/>
  <w16cid:commentId w16cid:paraId="5A03CCF7" w16cid:durableId="2799BE26"/>
  <w16cid:commentId w16cid:paraId="5EDAF526" w16cid:durableId="274428E7"/>
  <w16cid:commentId w16cid:paraId="10FB8F58" w16cid:durableId="27B5D59D"/>
  <w16cid:commentId w16cid:paraId="1DB6E2F6" w16cid:durableId="27B5D59E"/>
  <w16cid:commentId w16cid:paraId="0C2DAF7E" w16cid:durableId="2799BE25"/>
  <w16cid:commentId w16cid:paraId="0106CDB1" w16cid:durableId="2799BE24"/>
  <w16cid:commentId w16cid:paraId="7D0DBE63" w16cid:durableId="2799BE23"/>
  <w16cid:commentId w16cid:paraId="67D5D768" w16cid:durableId="2799BE22"/>
  <w16cid:commentId w16cid:paraId="0EE50260" w16cid:durableId="00000009"/>
  <w16cid:commentId w16cid:paraId="39DA3140" w16cid:durableId="0000000A"/>
  <w16cid:commentId w16cid:paraId="02A03182" w16cid:durableId="27695E39"/>
  <w16cid:commentId w16cid:paraId="3227AEBB" w16cid:durableId="2799BE21"/>
  <w16cid:commentId w16cid:paraId="37671912" w16cid:durableId="2799BE20"/>
  <w16cid:commentId w16cid:paraId="01AC0687" w16cid:durableId="0000000D"/>
  <w16cid:commentId w16cid:paraId="24A4C396" w16cid:durableId="276C157F"/>
  <w16cid:commentId w16cid:paraId="5FF01C32" w16cid:durableId="276ABBC4"/>
  <w16cid:commentId w16cid:paraId="197687AD" w16cid:durableId="27442BB7"/>
  <w16cid:commentId w16cid:paraId="733FC5B2" w16cid:durableId="2768150B"/>
  <w16cid:commentId w16cid:paraId="670CF1B4" w16cid:durableId="27B5D647"/>
  <w16cid:commentId w16cid:paraId="76A17369" w16cid:durableId="27B5D648"/>
  <w16cid:commentId w16cid:paraId="58038E5B" w16cid:durableId="277921C1"/>
  <w16cid:commentId w16cid:paraId="0362E816" w16cid:durableId="00000010"/>
  <w16cid:commentId w16cid:paraId="12D8B960" w16cid:durableId="27442BE8"/>
  <w16cid:commentId w16cid:paraId="1F4C5E16" w16cid:durableId="27681589"/>
  <w16cid:commentId w16cid:paraId="4FC22D09" w16cid:durableId="276815CD"/>
  <w16cid:commentId w16cid:paraId="67469134" w16cid:durableId="27B5D735"/>
  <w16cid:commentId w16cid:paraId="61415B6C" w16cid:durableId="27B5D736"/>
  <w16cid:commentId w16cid:paraId="47852AA6" w16cid:durableId="277938A0"/>
  <w16cid:commentId w16cid:paraId="5F9C817B" w16cid:durableId="276C1585"/>
  <w16cid:commentId w16cid:paraId="12203E7A" w16cid:durableId="27710574"/>
  <w16cid:commentId w16cid:paraId="7A098C48" w16cid:durableId="27A9A5B5"/>
  <w16cid:commentId w16cid:paraId="7EA9C0B6" w16cid:durableId="27865E89"/>
  <w16cid:commentId w16cid:paraId="5152F5AF" w16cid:durableId="27442F95"/>
  <w16cid:commentId w16cid:paraId="76A8263E" w16cid:durableId="27681615"/>
  <w16cid:commentId w16cid:paraId="2BD01967" w16cid:durableId="2799BE1E"/>
  <w16cid:commentId w16cid:paraId="696B4813" w16cid:durableId="2799BE1D"/>
  <w16cid:commentId w16cid:paraId="53B901EE" w16cid:durableId="277A64ED"/>
  <w16cid:commentId w16cid:paraId="3F12E6DF" w16cid:durableId="2799BE1C"/>
  <w16cid:commentId w16cid:paraId="532FCB5B" w16cid:durableId="2799BE1B"/>
  <w16cid:commentId w16cid:paraId="6B9953CC" w16cid:durableId="278FA11A"/>
  <w16cid:commentId w16cid:paraId="7430AEF8" w16cid:durableId="2799BE1A"/>
  <w16cid:commentId w16cid:paraId="69A3E7B8" w16cid:durableId="2799BE19"/>
  <w16cid:commentId w16cid:paraId="4FFD67F1" w16cid:durableId="2799BE18"/>
  <w16cid:commentId w16cid:paraId="47896A2F" w16cid:durableId="2799BE17"/>
  <w16cid:commentId w16cid:paraId="3026DCB8" w16cid:durableId="2799BE14"/>
  <w16cid:commentId w16cid:paraId="5DEE3C95" w16cid:durableId="2799BE13"/>
  <w16cid:commentId w16cid:paraId="179713BF" w16cid:durableId="278FA17E"/>
  <w16cid:commentId w16cid:paraId="19DD4448" w16cid:durableId="278F955D"/>
  <w16cid:commentId w16cid:paraId="589132FB" w16cid:durableId="279715BD"/>
  <w16cid:commentId w16cid:paraId="555DA332" w16cid:durableId="2799BE12"/>
  <w16cid:commentId w16cid:paraId="044A911B" w16cid:durableId="279628E1"/>
  <w16cid:commentId w16cid:paraId="3BAD676A" w16cid:durableId="278F6087"/>
  <w16cid:commentId w16cid:paraId="0665269A" w16cid:durableId="27971497"/>
  <w16cid:commentId w16cid:paraId="7186944B" w16cid:durableId="278F7462"/>
  <w16cid:commentId w16cid:paraId="52F403D8" w16cid:durableId="278F9305"/>
  <w16cid:commentId w16cid:paraId="76446662" w16cid:durableId="27961499"/>
  <w16cid:commentId w16cid:paraId="3918B38A" w16cid:durableId="2796149A"/>
  <w16cid:commentId w16cid:paraId="03AC8B61" w16cid:durableId="2796149B"/>
  <w16cid:commentId w16cid:paraId="0D6BBE57" w16cid:durableId="2796149C"/>
  <w16cid:commentId w16cid:paraId="7971C89F" w16cid:durableId="2796159B"/>
  <w16cid:commentId w16cid:paraId="1D2A84BC" w16cid:durableId="27AB41A7"/>
  <w16cid:commentId w16cid:paraId="502CA204" w16cid:durableId="0000007E"/>
  <w16cid:commentId w16cid:paraId="5B504726" w16cid:durableId="27B5D85F"/>
  <w16cid:commentId w16cid:paraId="23CB2906" w16cid:durableId="0000007F"/>
  <w16cid:commentId w16cid:paraId="276B342F" w16cid:durableId="00000081"/>
  <w16cid:commentId w16cid:paraId="46E06C90" w16cid:durableId="00000082"/>
  <w16cid:commentId w16cid:paraId="7D9CE30B" w16cid:durableId="00000049"/>
  <w16cid:commentId w16cid:paraId="06BF1110" w16cid:durableId="27AAF125"/>
  <w16cid:commentId w16cid:paraId="39F1FE80" w16cid:durableId="2799BE11"/>
  <w16cid:commentId w16cid:paraId="13BD4EA4" w16cid:durableId="2799F7FB"/>
  <w16cid:commentId w16cid:paraId="607EB0C2" w16cid:durableId="2799BE10"/>
  <w16cid:commentId w16cid:paraId="774FF1BE" w16cid:durableId="2799F7FF"/>
  <w16cid:commentId w16cid:paraId="50F9FC1C" w16cid:durableId="27AAF6B1"/>
  <w16cid:commentId w16cid:paraId="2149A234" w16cid:durableId="27AAF7C6"/>
  <w16cid:commentId w16cid:paraId="20E06B2D" w16cid:durableId="276B9D73"/>
  <w16cid:commentId w16cid:paraId="5C7C5F5C" w16cid:durableId="2799F7CC"/>
  <w16cid:commentId w16cid:paraId="2A63273D" w16cid:durableId="276B9D35"/>
  <w16cid:commentId w16cid:paraId="38E50855" w16cid:durableId="278650E7"/>
  <w16cid:commentId w16cid:paraId="457D6F0F" w16cid:durableId="2799BE0F"/>
  <w16cid:commentId w16cid:paraId="781A658B" w16cid:durableId="276C159B"/>
  <w16cid:commentId w16cid:paraId="27B67032" w16cid:durableId="2799F751"/>
  <w16cid:commentId w16cid:paraId="1CFAFAD1" w16cid:durableId="276C159C"/>
  <w16cid:commentId w16cid:paraId="6374F6CB" w16cid:durableId="27AC559D"/>
  <w16cid:commentId w16cid:paraId="192CC5E8" w16cid:durableId="27AC5596"/>
  <w16cid:commentId w16cid:paraId="65B107EE" w16cid:durableId="27AC5394"/>
  <w16cid:commentId w16cid:paraId="77031A65" w16cid:durableId="0000008C"/>
  <w16cid:commentId w16cid:paraId="40B94219" w16cid:durableId="0000008D"/>
  <w16cid:commentId w16cid:paraId="1E298882" w16cid:durableId="27AC558B"/>
  <w16cid:commentId w16cid:paraId="4A9FF57E" w16cid:durableId="279A04C5"/>
  <w16cid:commentId w16cid:paraId="7599CBD2" w16cid:durableId="27AC53F8"/>
  <w16cid:commentId w16cid:paraId="282D2A75" w16cid:durableId="27AC5525"/>
  <w16cid:commentId w16cid:paraId="67C28505" w16cid:durableId="279A0F19"/>
  <w16cid:commentId w16cid:paraId="2C760BB3" w16cid:durableId="27AC5AE2"/>
  <w16cid:commentId w16cid:paraId="47ABA7AC" w16cid:durableId="27AC5C3C"/>
  <w16cid:commentId w16cid:paraId="1F4C3C91" w16cid:durableId="27AC5C8C"/>
  <w16cid:commentId w16cid:paraId="4ABC3A4D" w16cid:durableId="27AC5CE9"/>
  <w16cid:commentId w16cid:paraId="32157B95" w16cid:durableId="27AC5D45"/>
  <w16cid:commentId w16cid:paraId="7D32D446" w16cid:durableId="27AC5D6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2092B" w14:textId="77777777" w:rsidR="006F646F" w:rsidRDefault="006F646F" w:rsidP="006F646F">
      <w:pPr>
        <w:spacing w:after="0" w:line="240" w:lineRule="auto"/>
      </w:pPr>
      <w:r>
        <w:separator/>
      </w:r>
    </w:p>
  </w:endnote>
  <w:endnote w:type="continuationSeparator" w:id="0">
    <w:p w14:paraId="4772F9C6" w14:textId="77777777" w:rsidR="006F646F" w:rsidRDefault="006F646F" w:rsidP="006F64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PalatinoLinotype-Bold">
    <w:altName w:val="Palatino Linotype"/>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sz w:val="20"/>
      </w:rPr>
      <w:id w:val="-711423103"/>
      <w:docPartObj>
        <w:docPartGallery w:val="Page Numbers (Bottom of Page)"/>
        <w:docPartUnique/>
      </w:docPartObj>
    </w:sdtPr>
    <w:sdtEndPr>
      <w:rPr>
        <w:rFonts w:ascii="Arial" w:hAnsi="Arial"/>
      </w:rPr>
    </w:sdtEndPr>
    <w:sdtContent>
      <w:p w14:paraId="63CE1879" w14:textId="77777777" w:rsidR="006F646F" w:rsidRPr="0088656B" w:rsidRDefault="006F646F" w:rsidP="0088656B">
        <w:pPr>
          <w:pStyle w:val="Footer"/>
          <w:rPr>
            <w:rFonts w:ascii="Arial" w:hAnsi="Arial" w:cs="Arial"/>
            <w:sz w:val="20"/>
          </w:rPr>
        </w:pPr>
        <w:r>
          <w:rPr>
            <w:rFonts w:cs="Arial"/>
            <w:sz w:val="20"/>
          </w:rPr>
          <w:t>Landfill Size/Capacity/Longevity A.1</w:t>
        </w:r>
        <w:r w:rsidRPr="0065610A">
          <w:rPr>
            <w:rFonts w:cs="Arial"/>
            <w:sz w:val="20"/>
          </w:rPr>
          <w:t xml:space="preserve">., Subcommittee Report </w:t>
        </w:r>
        <w:r w:rsidRPr="0065610A">
          <w:rPr>
            <w:rFonts w:cs="Arial"/>
            <w:sz w:val="20"/>
          </w:rPr>
          <w:tab/>
        </w:r>
        <w:r w:rsidRPr="0065610A">
          <w:rPr>
            <w:rFonts w:cs="Arial"/>
            <w:sz w:val="20"/>
          </w:rPr>
          <w:fldChar w:fldCharType="begin"/>
        </w:r>
        <w:r w:rsidRPr="0065610A">
          <w:rPr>
            <w:rFonts w:cs="Arial"/>
            <w:sz w:val="20"/>
          </w:rPr>
          <w:instrText xml:space="preserve"> PAGE   \* MERGEFORMAT </w:instrText>
        </w:r>
        <w:r w:rsidRPr="0065610A">
          <w:rPr>
            <w:rFonts w:cs="Arial"/>
            <w:sz w:val="20"/>
          </w:rPr>
          <w:fldChar w:fldCharType="separate"/>
        </w:r>
        <w:r w:rsidRPr="0065610A">
          <w:rPr>
            <w:rFonts w:cs="Arial"/>
            <w:sz w:val="20"/>
          </w:rPr>
          <w:t>6</w:t>
        </w:r>
        <w:r w:rsidRPr="0065610A">
          <w:rPr>
            <w:rFonts w:cs="Arial"/>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EBE96" w14:textId="77777777" w:rsidR="006F646F" w:rsidRDefault="006F646F" w:rsidP="006F646F">
      <w:pPr>
        <w:spacing w:after="0" w:line="240" w:lineRule="auto"/>
      </w:pPr>
      <w:r>
        <w:separator/>
      </w:r>
    </w:p>
  </w:footnote>
  <w:footnote w:type="continuationSeparator" w:id="0">
    <w:p w14:paraId="336C2E86" w14:textId="77777777" w:rsidR="006F646F" w:rsidRDefault="006F646F" w:rsidP="006F646F">
      <w:pPr>
        <w:spacing w:after="0" w:line="240" w:lineRule="auto"/>
      </w:pPr>
      <w:r>
        <w:continuationSeparator/>
      </w:r>
    </w:p>
  </w:footnote>
  <w:footnote w:id="1">
    <w:p w14:paraId="46A6B4AA" w14:textId="77777777" w:rsidR="006F646F" w:rsidRDefault="006F646F" w:rsidP="006F646F">
      <w:pPr>
        <w:pStyle w:val="FootnoteText"/>
      </w:pPr>
      <w:r>
        <w:rPr>
          <w:rStyle w:val="FootnoteReference"/>
        </w:rPr>
        <w:footnoteRef/>
      </w:r>
      <w:r>
        <w:t xml:space="preserve"> </w:t>
      </w:r>
      <w:hyperlink r:id="rId1" w:history="1">
        <w:r w:rsidRPr="002A31A0">
          <w:rPr>
            <w:rStyle w:val="Hyperlink"/>
          </w:rPr>
          <w:t>2013 Coffin Butte Landfill and Pacific Region Compost Annual Report</w:t>
        </w:r>
      </w:hyperlink>
    </w:p>
  </w:footnote>
  <w:footnote w:id="2">
    <w:p w14:paraId="046DBA4C" w14:textId="77777777" w:rsidR="006F646F" w:rsidRDefault="006F646F" w:rsidP="006F646F">
      <w:pPr>
        <w:pStyle w:val="Body"/>
        <w:rPr>
          <w:rFonts w:ascii="Times New Roman" w:eastAsia="Arial Unicode MS" w:hAnsi="Times New Roman" w:cs="Times New Roman"/>
          <w:color w:val="auto"/>
          <w:sz w:val="20"/>
          <w:bdr w:val="none" w:sz="0" w:space="0" w:color="auto"/>
        </w:rPr>
      </w:pPr>
      <w:r>
        <w:rPr>
          <w:rStyle w:val="None"/>
          <w:rFonts w:ascii="Palatino Linotype" w:eastAsia="Palatino Linotype" w:hAnsi="Palatino Linotype" w:cs="Palatino Linotype"/>
          <w:vertAlign w:val="superscript"/>
        </w:rPr>
        <w:footnoteRef/>
      </w:r>
      <w:r>
        <w:rPr>
          <w:rStyle w:val="None"/>
          <w:rFonts w:ascii="Arial" w:hAnsi="Arial"/>
        </w:rPr>
        <w:t xml:space="preserve"> Derived from Knife River testimony before the Benton County Planning Commission, November 2021.</w:t>
      </w:r>
    </w:p>
  </w:footnote>
  <w:footnote w:id="3">
    <w:p w14:paraId="0090B59A" w14:textId="77777777" w:rsidR="006F646F" w:rsidRDefault="006F646F" w:rsidP="006F646F">
      <w:pPr>
        <w:pStyle w:val="Body"/>
        <w:rPr>
          <w:rFonts w:ascii="Times New Roman" w:eastAsia="Arial Unicode MS" w:hAnsi="Times New Roman" w:cs="Times New Roman"/>
          <w:color w:val="auto"/>
          <w:sz w:val="20"/>
          <w:bdr w:val="none" w:sz="0" w:space="0" w:color="auto"/>
        </w:rPr>
      </w:pPr>
      <w:r>
        <w:rPr>
          <w:rStyle w:val="None"/>
          <w:rFonts w:ascii="Palatino Linotype" w:eastAsia="Palatino Linotype" w:hAnsi="Palatino Linotype" w:cs="Palatino Linotype"/>
          <w:vertAlign w:val="superscript"/>
        </w:rPr>
        <w:footnoteRef/>
      </w:r>
      <w:r>
        <w:rPr>
          <w:rStyle w:val="None"/>
          <w:rFonts w:ascii="Arial" w:hAnsi="Arial"/>
        </w:rPr>
        <w:t xml:space="preserve"> Derived from Knife River testimony before the Benton County Planning Commission, November 2021.</w:t>
      </w:r>
    </w:p>
  </w:footnote>
  <w:footnote w:id="4">
    <w:p w14:paraId="4A938D11" w14:textId="77777777" w:rsidR="006F646F" w:rsidRDefault="006F646F" w:rsidP="006F646F">
      <w:pPr>
        <w:pStyle w:val="Body"/>
        <w:rPr>
          <w:rFonts w:ascii="Times New Roman" w:eastAsia="Arial Unicode MS" w:hAnsi="Times New Roman" w:cs="Times New Roman"/>
          <w:color w:val="auto"/>
          <w:sz w:val="20"/>
          <w:bdr w:val="none" w:sz="0" w:space="0" w:color="auto"/>
        </w:rPr>
      </w:pPr>
      <w:r>
        <w:rPr>
          <w:rStyle w:val="None"/>
          <w:rFonts w:ascii="Palatino Linotype" w:eastAsia="Palatino Linotype" w:hAnsi="Palatino Linotype" w:cs="Palatino Linotype"/>
          <w:vertAlign w:val="superscript"/>
        </w:rPr>
        <w:footnoteRef/>
      </w:r>
      <w:r>
        <w:rPr>
          <w:rStyle w:val="None"/>
          <w:rFonts w:ascii="Arial" w:hAnsi="Arial"/>
        </w:rPr>
        <w:t xml:space="preserve"> Closure outside of this date range is possible, </w:t>
      </w:r>
      <w:r w:rsidRPr="007E6DA1">
        <w:rPr>
          <w:rStyle w:val="None"/>
          <w:rFonts w:ascii="Arial" w:hAnsi="Arial"/>
        </w:rPr>
        <w:t>but seen as less likely</w:t>
      </w:r>
    </w:p>
  </w:footnote>
  <w:footnote w:id="5">
    <w:p w14:paraId="1997A0E4" w14:textId="77777777" w:rsidR="006F646F" w:rsidRDefault="006F646F" w:rsidP="006F646F">
      <w:pPr>
        <w:pStyle w:val="FootnoteText"/>
      </w:pPr>
      <w:r>
        <w:rPr>
          <w:rStyle w:val="FootnoteReference"/>
        </w:rPr>
        <w:footnoteRef/>
      </w:r>
      <w:r>
        <w:t xml:space="preserve"> </w:t>
      </w:r>
      <w:r w:rsidRPr="007136E8">
        <w:t>Global Risks: The heat is on businesses to respond to climate change,</w:t>
      </w:r>
      <w:r w:rsidRPr="007136E8">
        <w:rPr>
          <w:rFonts w:hint="eastAsia"/>
        </w:rPr>
        <w:t>”</w:t>
      </w:r>
      <w:r w:rsidRPr="007136E8">
        <w:t xml:space="preserve"> World Economic Forum, January</w:t>
      </w:r>
      <w:r>
        <w:t xml:space="preserve"> </w:t>
      </w:r>
      <w:r w:rsidRPr="007136E8">
        <w:t>2020. link</w:t>
      </w:r>
    </w:p>
  </w:footnote>
  <w:footnote w:id="6">
    <w:p w14:paraId="6904165B" w14:textId="77777777" w:rsidR="006F646F" w:rsidRDefault="006F646F" w:rsidP="006F646F">
      <w:pPr>
        <w:pStyle w:val="FootnoteText"/>
      </w:pPr>
      <w:r>
        <w:rPr>
          <w:rStyle w:val="FootnoteReference"/>
        </w:rPr>
        <w:footnoteRef/>
      </w:r>
      <w:r>
        <w:t xml:space="preserve"> </w:t>
      </w:r>
      <w:r w:rsidRPr="00C04205">
        <w:rPr>
          <w:rFonts w:hint="eastAsia"/>
        </w:rPr>
        <w:t>“</w:t>
      </w:r>
      <w:r w:rsidRPr="00C04205">
        <w:t>Climate change poses a range of financial and economic risks to households, communities and market</w:t>
      </w:r>
      <w:r>
        <w:t xml:space="preserve"> </w:t>
      </w:r>
      <w:r w:rsidRPr="00C04205">
        <w:t>across the United States</w:t>
      </w:r>
      <w:r w:rsidRPr="00C04205">
        <w:rPr>
          <w:rFonts w:hint="eastAsia"/>
        </w:rPr>
        <w:t>…</w:t>
      </w:r>
      <w:r w:rsidRPr="00C04205">
        <w:t xml:space="preserve"> Climate change impacts threaten the stability of the US housing market.</w:t>
      </w:r>
      <w:r w:rsidRPr="00C04205">
        <w:rPr>
          <w:rFonts w:hint="eastAsia"/>
        </w:rPr>
        <w:t>”</w:t>
      </w:r>
      <w:r>
        <w:t xml:space="preserve"> </w:t>
      </w:r>
      <w:r w:rsidRPr="00C04205">
        <w:t xml:space="preserve">Nature Climate Change, </w:t>
      </w:r>
      <w:r w:rsidRPr="00C04205">
        <w:rPr>
          <w:rFonts w:hint="eastAsia"/>
        </w:rPr>
        <w:t>“</w:t>
      </w:r>
      <w:r w:rsidRPr="00C04205">
        <w:t>Unpriced climate risk and the potential consequences of overvaluation in US</w:t>
      </w:r>
      <w:r>
        <w:t xml:space="preserve"> </w:t>
      </w:r>
      <w:r w:rsidRPr="00C04205">
        <w:t>housing markets,</w:t>
      </w:r>
      <w:r w:rsidRPr="00C04205">
        <w:rPr>
          <w:rFonts w:hint="eastAsia"/>
        </w:rPr>
        <w:t>”</w:t>
      </w:r>
      <w:r w:rsidRPr="00C04205">
        <w:t xml:space="preserve"> Feb 2023. link</w:t>
      </w:r>
    </w:p>
  </w:footnote>
  <w:footnote w:id="7">
    <w:p w14:paraId="5CDA7E7E" w14:textId="77777777" w:rsidR="006F646F" w:rsidRDefault="006F646F" w:rsidP="006F646F">
      <w:pPr>
        <w:pStyle w:val="FootnoteText"/>
      </w:pPr>
      <w:r>
        <w:rPr>
          <w:rStyle w:val="FootnoteReference"/>
        </w:rPr>
        <w:footnoteRef/>
      </w:r>
      <w:r>
        <w:t xml:space="preserve"> </w:t>
      </w:r>
      <w:r w:rsidRPr="00B00392">
        <w:rPr>
          <w:rFonts w:hint="eastAsia"/>
        </w:rPr>
        <w:t>“</w:t>
      </w:r>
      <w:r w:rsidRPr="00B00392">
        <w:t xml:space="preserve">Tackling the Climate Crisis </w:t>
      </w:r>
      <w:r w:rsidRPr="00B00392">
        <w:rPr>
          <w:rFonts w:hint="eastAsia"/>
        </w:rPr>
        <w:t>–</w:t>
      </w:r>
      <w:r w:rsidRPr="00B00392">
        <w:t xml:space="preserve"> The planet's changing climate has a significant effect on Defense Department</w:t>
      </w:r>
      <w:r>
        <w:t xml:space="preserve"> </w:t>
      </w:r>
      <w:r w:rsidRPr="00B00392">
        <w:t>missions, plans and installations. DOD is elevating climate change as a national security priority, integrating</w:t>
      </w:r>
      <w:r>
        <w:t xml:space="preserve"> </w:t>
      </w:r>
      <w:r w:rsidRPr="00B00392">
        <w:t>climate considerations into policies, strategies and partner engagements.</w:t>
      </w:r>
      <w:r w:rsidRPr="00B00392">
        <w:rPr>
          <w:rFonts w:hint="eastAsia"/>
        </w:rPr>
        <w:t>”</w:t>
      </w:r>
      <w:r w:rsidRPr="00B00392">
        <w:t xml:space="preserve"> US Department of Defense,</w:t>
      </w:r>
      <w:r>
        <w:t xml:space="preserve"> </w:t>
      </w:r>
      <w:r w:rsidRPr="00B00392">
        <w:t>Spotlight, January 26, 2023. link</w:t>
      </w:r>
    </w:p>
  </w:footnote>
  <w:footnote w:id="8">
    <w:p w14:paraId="45339505" w14:textId="77777777" w:rsidR="006F646F" w:rsidRDefault="006F646F" w:rsidP="006F646F">
      <w:pPr>
        <w:pStyle w:val="FootnoteText"/>
      </w:pPr>
      <w:r>
        <w:rPr>
          <w:rStyle w:val="FootnoteReference"/>
        </w:rPr>
        <w:footnoteRef/>
      </w:r>
      <w:r>
        <w:t xml:space="preserve"> </w:t>
      </w:r>
      <w:r w:rsidRPr="002B624B">
        <w:rPr>
          <w:rFonts w:hint="eastAsia"/>
        </w:rPr>
        <w:t>“</w:t>
      </w:r>
      <w:r w:rsidRPr="002B624B">
        <w:t xml:space="preserve">President Biden's Executive Order 14057, collectively referred to as </w:t>
      </w:r>
      <w:r w:rsidRPr="002B624B">
        <w:rPr>
          <w:rFonts w:hint="eastAsia"/>
        </w:rPr>
        <w:t>‘</w:t>
      </w:r>
      <w:r w:rsidRPr="002B624B">
        <w:t>The Federal Sustainability Plan</w:t>
      </w:r>
      <w:r w:rsidRPr="002B624B">
        <w:rPr>
          <w:rFonts w:hint="eastAsia"/>
        </w:rPr>
        <w:t>’</w:t>
      </w:r>
      <w:r w:rsidRPr="002B624B">
        <w:t>,</w:t>
      </w:r>
      <w:r>
        <w:t xml:space="preserve"> </w:t>
      </w:r>
      <w:r w:rsidRPr="002B624B">
        <w:t>outlines an ambitious path to prepare Federal agency policy, programs, operations, and infrastructure to</w:t>
      </w:r>
      <w:r>
        <w:t xml:space="preserve"> </w:t>
      </w:r>
      <w:r w:rsidRPr="002B624B">
        <w:t>adopt adaptive and resilient strategies for future climate impacts.</w:t>
      </w:r>
      <w:r w:rsidRPr="002B624B">
        <w:rPr>
          <w:rFonts w:hint="eastAsia"/>
        </w:rPr>
        <w:t>”</w:t>
      </w:r>
      <w:r w:rsidRPr="002B624B">
        <w:t xml:space="preserve"> Office of the Federal Chief</w:t>
      </w:r>
      <w:r>
        <w:t xml:space="preserve"> </w:t>
      </w:r>
      <w:r w:rsidRPr="002B624B">
        <w:t>Sustainability</w:t>
      </w:r>
      <w:r>
        <w:t xml:space="preserve"> </w:t>
      </w:r>
      <w:r w:rsidRPr="002B624B">
        <w:t>Officer, 2023. link</w:t>
      </w:r>
    </w:p>
  </w:footnote>
  <w:footnote w:id="9">
    <w:p w14:paraId="66E8B436" w14:textId="77777777" w:rsidR="006F646F" w:rsidRDefault="006F646F" w:rsidP="006F646F">
      <w:pPr>
        <w:pStyle w:val="FootnoteText"/>
      </w:pPr>
      <w:r>
        <w:rPr>
          <w:rStyle w:val="FootnoteReference"/>
        </w:rPr>
        <w:footnoteRef/>
      </w:r>
      <w:r>
        <w:t xml:space="preserve"> </w:t>
      </w:r>
      <w:r w:rsidRPr="00D83264">
        <w:rPr>
          <w:rFonts w:hint="eastAsia"/>
        </w:rPr>
        <w:t>“</w:t>
      </w:r>
      <w:r w:rsidRPr="00D83264">
        <w:t>Oregon is already experiencing the effects of the changing climate and ocean</w:t>
      </w:r>
      <w:r w:rsidRPr="00D83264">
        <w:rPr>
          <w:rFonts w:hint="eastAsia"/>
        </w:rPr>
        <w:t>…</w:t>
      </w:r>
      <w:r w:rsidRPr="00D83264">
        <w:t xml:space="preserve"> State government has a</w:t>
      </w:r>
      <w:r>
        <w:t xml:space="preserve"> </w:t>
      </w:r>
      <w:r w:rsidRPr="00D83264">
        <w:t>duty to our communities, businesses, and future generations not only to reduce emission of Green House</w:t>
      </w:r>
      <w:r>
        <w:t xml:space="preserve"> </w:t>
      </w:r>
      <w:r w:rsidRPr="00D83264">
        <w:t>Gases (GHGs), the primary cause of climate and ocean change, but to take action to address the</w:t>
      </w:r>
      <w:r>
        <w:t xml:space="preserve"> </w:t>
      </w:r>
      <w:r w:rsidRPr="00D83264">
        <w:t>impacts of</w:t>
      </w:r>
      <w:r>
        <w:t xml:space="preserve"> </w:t>
      </w:r>
      <w:r w:rsidRPr="00D83264">
        <w:t>change across all sectors</w:t>
      </w:r>
      <w:r w:rsidRPr="00D83264">
        <w:rPr>
          <w:rFonts w:hint="eastAsia"/>
        </w:rPr>
        <w:t>…</w:t>
      </w:r>
      <w:r w:rsidRPr="00D83264">
        <w:t xml:space="preserve"> to take advantage of emerging opportunities and harness existing</w:t>
      </w:r>
      <w:r>
        <w:t xml:space="preserve"> </w:t>
      </w:r>
      <w:r w:rsidRPr="00D83264">
        <w:t>state resources to</w:t>
      </w:r>
      <w:r>
        <w:t xml:space="preserve"> </w:t>
      </w:r>
      <w:r w:rsidRPr="00D83264">
        <w:t>protect people and the environment.</w:t>
      </w:r>
      <w:r w:rsidRPr="00D83264">
        <w:rPr>
          <w:rFonts w:hint="eastAsia"/>
        </w:rPr>
        <w:t>”</w:t>
      </w:r>
      <w:r w:rsidRPr="00D83264">
        <w:t xml:space="preserve"> The 2021 Oregon Climate Adaption Framework. link</w:t>
      </w:r>
    </w:p>
  </w:footnote>
  <w:footnote w:id="10">
    <w:p w14:paraId="08565BD4" w14:textId="77777777" w:rsidR="006F646F" w:rsidRDefault="006F646F" w:rsidP="006F646F">
      <w:pPr>
        <w:pStyle w:val="FootnoteText"/>
      </w:pPr>
      <w:r>
        <w:rPr>
          <w:rStyle w:val="FootnoteReference"/>
        </w:rPr>
        <w:footnoteRef/>
      </w:r>
      <w:r>
        <w:t xml:space="preserve"> </w:t>
      </w:r>
      <w:r w:rsidRPr="00D76817">
        <w:rPr>
          <w:rFonts w:hint="eastAsia"/>
        </w:rPr>
        <w:t>“</w:t>
      </w:r>
      <w:r w:rsidRPr="00D76817">
        <w:t>This page provides resources for climate change materials and information. It includes links to documents,</w:t>
      </w:r>
      <w:r>
        <w:t xml:space="preserve"> </w:t>
      </w:r>
      <w:r w:rsidRPr="00D76817">
        <w:t>reports, web sites, and resources from local, state, federal, academic, and non-profit</w:t>
      </w:r>
      <w:r>
        <w:t xml:space="preserve"> </w:t>
      </w:r>
      <w:r w:rsidRPr="00D76817">
        <w:t>organizations.</w:t>
      </w:r>
      <w:r w:rsidRPr="00D76817">
        <w:rPr>
          <w:rFonts w:hint="eastAsia"/>
        </w:rPr>
        <w:t>”</w:t>
      </w:r>
      <w:r w:rsidRPr="00D76817">
        <w:t xml:space="preserve"> Climate</w:t>
      </w:r>
      <w:r>
        <w:t xml:space="preserve"> </w:t>
      </w:r>
      <w:r w:rsidRPr="00D76817">
        <w:t>Change Resources, Oregon Department of Land Conservation and Development. link</w:t>
      </w:r>
    </w:p>
  </w:footnote>
  <w:footnote w:id="11">
    <w:p w14:paraId="740D902E" w14:textId="77777777" w:rsidR="006F646F" w:rsidRDefault="006F646F" w:rsidP="006F646F">
      <w:pPr>
        <w:pStyle w:val="FootnoteText"/>
      </w:pPr>
      <w:r>
        <w:rPr>
          <w:rStyle w:val="FootnoteReference"/>
        </w:rPr>
        <w:footnoteRef/>
      </w:r>
      <w:r>
        <w:t xml:space="preserve"> </w:t>
      </w:r>
      <w:r w:rsidRPr="0031674F">
        <w:rPr>
          <w:rFonts w:hint="eastAsia"/>
        </w:rPr>
        <w:t>“</w:t>
      </w:r>
      <w:r w:rsidRPr="0031674F">
        <w:t>Americans who think global warming is happening outnumber those who think it is not happening by a</w:t>
      </w:r>
      <w:r>
        <w:t xml:space="preserve"> </w:t>
      </w:r>
      <w:r w:rsidRPr="0031674F">
        <w:t>ratio of more than 4 to 1 (70% versus 16%)</w:t>
      </w:r>
      <w:r w:rsidRPr="0031674F">
        <w:rPr>
          <w:rFonts w:hint="eastAsia"/>
        </w:rPr>
        <w:t>…</w:t>
      </w:r>
      <w:r w:rsidRPr="0031674F">
        <w:t xml:space="preserve"> One in ten Americans (10%) have considered moving to</w:t>
      </w:r>
      <w:r>
        <w:t xml:space="preserve"> </w:t>
      </w:r>
      <w:r w:rsidRPr="0031674F">
        <w:t>avoid the</w:t>
      </w:r>
      <w:r>
        <w:t xml:space="preserve"> </w:t>
      </w:r>
      <w:r w:rsidRPr="0031674F">
        <w:t>impacts of global warming.</w:t>
      </w:r>
      <w:r w:rsidRPr="0031674F">
        <w:rPr>
          <w:rFonts w:hint="eastAsia"/>
        </w:rPr>
        <w:t>”</w:t>
      </w:r>
      <w:r w:rsidRPr="0031674F">
        <w:t xml:space="preserve"> Yale Program on Climate Change Communication, </w:t>
      </w:r>
      <w:r w:rsidRPr="0031674F">
        <w:rPr>
          <w:rFonts w:hint="eastAsia"/>
        </w:rPr>
        <w:t>“</w:t>
      </w:r>
      <w:r w:rsidRPr="0031674F">
        <w:t>Change in</w:t>
      </w:r>
      <w:r>
        <w:t xml:space="preserve"> </w:t>
      </w:r>
      <w:r w:rsidRPr="0031674F">
        <w:t>the American</w:t>
      </w:r>
      <w:r>
        <w:t xml:space="preserve"> </w:t>
      </w:r>
      <w:r w:rsidRPr="0031674F">
        <w:t xml:space="preserve">Mind: Beliefs &amp; </w:t>
      </w:r>
      <w:proofErr w:type="spellStart"/>
      <w:r w:rsidRPr="0031674F">
        <w:t>APitudes</w:t>
      </w:r>
      <w:proofErr w:type="spellEnd"/>
      <w:r w:rsidRPr="0031674F">
        <w:t>, December 2022.</w:t>
      </w:r>
      <w:r w:rsidRPr="0031674F">
        <w:rPr>
          <w:rFonts w:hint="eastAsia"/>
        </w:rPr>
        <w:t>”</w:t>
      </w:r>
      <w:r w:rsidRPr="0031674F">
        <w:t xml:space="preserve"> link</w:t>
      </w:r>
    </w:p>
  </w:footnote>
  <w:footnote w:id="12">
    <w:p w14:paraId="47612F72" w14:textId="77777777" w:rsidR="006F646F" w:rsidRDefault="006F646F" w:rsidP="006F646F">
      <w:pPr>
        <w:pStyle w:val="FootnoteText"/>
      </w:pPr>
      <w:r>
        <w:rPr>
          <w:rStyle w:val="FootnoteReference"/>
        </w:rPr>
        <w:footnoteRef/>
      </w:r>
      <w:r>
        <w:t xml:space="preserve"> </w:t>
      </w:r>
      <w:r w:rsidRPr="009745F4">
        <w:t>United Nations: Climate Action. link</w:t>
      </w:r>
    </w:p>
  </w:footnote>
  <w:footnote w:id="13">
    <w:p w14:paraId="7665F044" w14:textId="77777777" w:rsidR="006F646F" w:rsidRDefault="006F646F" w:rsidP="006F646F">
      <w:pPr>
        <w:pStyle w:val="FootnoteText"/>
      </w:pPr>
      <w:r>
        <w:rPr>
          <w:rStyle w:val="FootnoteReference"/>
        </w:rPr>
        <w:footnoteRef/>
      </w:r>
      <w:r>
        <w:t xml:space="preserve"> </w:t>
      </w:r>
      <w:r w:rsidRPr="00CF6674">
        <w:rPr>
          <w:rFonts w:hint="eastAsia"/>
        </w:rPr>
        <w:t>“</w:t>
      </w:r>
      <w:r w:rsidRPr="00CF6674">
        <w:t xml:space="preserve">CO2 </w:t>
      </w:r>
      <w:r w:rsidRPr="00CF6674">
        <w:rPr>
          <w:rFonts w:hint="eastAsia"/>
        </w:rPr>
        <w:t>…</w:t>
      </w:r>
      <w:r w:rsidRPr="00CF6674">
        <w:t xml:space="preserve"> has a Global Warming Potential (GWP) of one. Methane has a GWP of between 28 and 36 over 100</w:t>
      </w:r>
      <w:r>
        <w:t xml:space="preserve"> </w:t>
      </w:r>
      <w:r w:rsidRPr="00CF6674">
        <w:t>years, according to the EPA, meaning it is significantly more potent as a greenhouse gas than CO2. It gets</w:t>
      </w:r>
      <w:r>
        <w:t xml:space="preserve"> </w:t>
      </w:r>
      <w:r w:rsidRPr="00CF6674">
        <w:t>worse. The GWP of methane gets even higher over shorter periods of time due to the gas' shorter life span.</w:t>
      </w:r>
      <w:r>
        <w:t xml:space="preserve"> </w:t>
      </w:r>
      <w:r w:rsidRPr="00CF6674">
        <w:t>Over a period of 20 years, methane has a GWP of between 84 and 87. According to the</w:t>
      </w:r>
      <w:r>
        <w:t xml:space="preserve"> </w:t>
      </w:r>
      <w:r w:rsidRPr="00CF6674">
        <w:t>Environmental Defense</w:t>
      </w:r>
      <w:r>
        <w:t xml:space="preserve"> </w:t>
      </w:r>
      <w:r w:rsidRPr="00CF6674">
        <w:t xml:space="preserve">Fund, while CO2 lasts for longer than methane, methane </w:t>
      </w:r>
      <w:r w:rsidRPr="00CF6674">
        <w:rPr>
          <w:rFonts w:hint="eastAsia"/>
        </w:rPr>
        <w:t>‘</w:t>
      </w:r>
      <w:r w:rsidRPr="00CF6674">
        <w:t>sets the pace for warming</w:t>
      </w:r>
      <w:r w:rsidRPr="00CF6674">
        <w:rPr>
          <w:rFonts w:hint="eastAsia"/>
        </w:rPr>
        <w:t>’</w:t>
      </w:r>
      <w:r w:rsidRPr="00CF6674">
        <w:t xml:space="preserve"> in the short term.</w:t>
      </w:r>
      <w:r w:rsidRPr="00CF6674">
        <w:rPr>
          <w:rFonts w:hint="eastAsia"/>
        </w:rPr>
        <w:t>”</w:t>
      </w:r>
      <w:r>
        <w:t xml:space="preserve"> </w:t>
      </w:r>
      <w:r w:rsidRPr="00CF6674">
        <w:rPr>
          <w:rFonts w:hint="eastAsia"/>
        </w:rPr>
        <w:t>“</w:t>
      </w:r>
      <w:r w:rsidRPr="00CF6674">
        <w:t>Methane Vs CO2: Which Is the Most Potent Greenhouse Gas As White House Unveils New Pledge,</w:t>
      </w:r>
      <w:r w:rsidRPr="00CF6674">
        <w:rPr>
          <w:rFonts w:hint="eastAsia"/>
        </w:rPr>
        <w:t>”</w:t>
      </w:r>
      <w:r>
        <w:t xml:space="preserve"> </w:t>
      </w:r>
      <w:r w:rsidRPr="00CF6674">
        <w:t>Newsweek, November 2021. link</w:t>
      </w:r>
    </w:p>
  </w:footnote>
  <w:footnote w:id="14">
    <w:p w14:paraId="3FBF6853" w14:textId="77777777" w:rsidR="006F646F" w:rsidRPr="00FA3A4C" w:rsidRDefault="006F646F" w:rsidP="006F646F">
      <w:pPr>
        <w:pStyle w:val="FootnoteText"/>
      </w:pPr>
      <w:r>
        <w:rPr>
          <w:rStyle w:val="FootnoteReference"/>
        </w:rPr>
        <w:footnoteRef/>
      </w:r>
      <w:r>
        <w:t xml:space="preserve"> </w:t>
      </w:r>
      <w:r w:rsidRPr="00FA3A4C">
        <w:t xml:space="preserve">The White House, </w:t>
      </w:r>
      <w:r w:rsidRPr="00FA3A4C">
        <w:rPr>
          <w:rFonts w:hint="eastAsia"/>
        </w:rPr>
        <w:t>“</w:t>
      </w:r>
      <w:r w:rsidRPr="00FA3A4C">
        <w:t>Fact Sheet: President Biden Tackles Methane Emissions, Spurs Innovations, and</w:t>
      </w:r>
    </w:p>
    <w:p w14:paraId="2D12094D" w14:textId="77777777" w:rsidR="006F646F" w:rsidRDefault="006F646F" w:rsidP="006F646F">
      <w:pPr>
        <w:pStyle w:val="FootnoteText"/>
      </w:pPr>
      <w:r w:rsidRPr="00FA3A4C">
        <w:t>Supports Sustainable Agriculture to Build a Clean Energy Economy and Create Jobs,</w:t>
      </w:r>
      <w:r w:rsidRPr="00FA3A4C">
        <w:rPr>
          <w:rFonts w:hint="eastAsia"/>
        </w:rPr>
        <w:t>”</w:t>
      </w:r>
      <w:r w:rsidRPr="00FA3A4C">
        <w:t xml:space="preserve"> November 2021.</w:t>
      </w:r>
      <w:r>
        <w:t xml:space="preserve"> </w:t>
      </w:r>
      <w:r w:rsidRPr="00FA3A4C">
        <w:t>link</w:t>
      </w:r>
    </w:p>
  </w:footnote>
  <w:footnote w:id="15">
    <w:p w14:paraId="27FB9DF3" w14:textId="77777777" w:rsidR="006F646F" w:rsidRDefault="006F646F" w:rsidP="006F646F">
      <w:pPr>
        <w:pStyle w:val="FootnoteText"/>
      </w:pPr>
      <w:r>
        <w:rPr>
          <w:rStyle w:val="FootnoteReference"/>
        </w:rPr>
        <w:footnoteRef/>
      </w:r>
      <w:r>
        <w:t xml:space="preserve"> </w:t>
      </w:r>
      <w:r w:rsidRPr="004D7A30">
        <w:rPr>
          <w:rFonts w:hint="eastAsia"/>
        </w:rPr>
        <w:t>“</w:t>
      </w:r>
      <w:r w:rsidRPr="004D7A30">
        <w:t>Methane Levels Hit New High, While the Cause of Rising Emissions Remains a Mystery,</w:t>
      </w:r>
      <w:r w:rsidRPr="004D7A30">
        <w:rPr>
          <w:rFonts w:hint="eastAsia"/>
        </w:rPr>
        <w:t>”</w:t>
      </w:r>
      <w:r w:rsidRPr="004D7A30">
        <w:t xml:space="preserve"> Yahoo News,</w:t>
      </w:r>
      <w:r>
        <w:t xml:space="preserve"> </w:t>
      </w:r>
      <w:r w:rsidRPr="004D7A30">
        <w:t>February 2021. link</w:t>
      </w:r>
    </w:p>
  </w:footnote>
  <w:footnote w:id="16">
    <w:p w14:paraId="7AE737FC" w14:textId="77777777" w:rsidR="006F646F" w:rsidRDefault="006F646F" w:rsidP="006F646F">
      <w:pPr>
        <w:pStyle w:val="FootnoteText"/>
      </w:pPr>
      <w:r>
        <w:rPr>
          <w:rStyle w:val="FootnoteReference"/>
        </w:rPr>
        <w:footnoteRef/>
      </w:r>
      <w:r>
        <w:t xml:space="preserve"> </w:t>
      </w:r>
      <w:r w:rsidRPr="00B71018">
        <w:t xml:space="preserve">Environmental Protection Agency, </w:t>
      </w:r>
      <w:r w:rsidRPr="00B71018">
        <w:rPr>
          <w:rFonts w:hint="eastAsia"/>
        </w:rPr>
        <w:t>“</w:t>
      </w:r>
      <w:r w:rsidRPr="00B71018">
        <w:t>Overview of Greenhouse Gases: Methane.</w:t>
      </w:r>
      <w:r w:rsidRPr="00B71018">
        <w:rPr>
          <w:rFonts w:hint="eastAsia"/>
        </w:rPr>
        <w:t>”</w:t>
      </w:r>
      <w:r w:rsidRPr="00B71018">
        <w:t xml:space="preserve"> link</w:t>
      </w:r>
    </w:p>
  </w:footnote>
  <w:footnote w:id="17">
    <w:p w14:paraId="135BAE0B" w14:textId="77777777" w:rsidR="006F646F" w:rsidRDefault="006F646F" w:rsidP="006F646F">
      <w:pPr>
        <w:pStyle w:val="FootnoteText"/>
      </w:pPr>
      <w:r>
        <w:rPr>
          <w:rStyle w:val="FootnoteReference"/>
        </w:rPr>
        <w:footnoteRef/>
      </w:r>
      <w:r>
        <w:t xml:space="preserve"> </w:t>
      </w:r>
      <w:r w:rsidRPr="000C7BE6">
        <w:t xml:space="preserve">National Public Radio, </w:t>
      </w:r>
      <w:r w:rsidRPr="000C7BE6">
        <w:rPr>
          <w:rFonts w:hint="eastAsia"/>
        </w:rPr>
        <w:t>“</w:t>
      </w:r>
      <w:r w:rsidRPr="000C7BE6">
        <w:t xml:space="preserve">Your Trash Is </w:t>
      </w:r>
      <w:proofErr w:type="spellStart"/>
      <w:r w:rsidRPr="000C7BE6">
        <w:t>EmiPing</w:t>
      </w:r>
      <w:proofErr w:type="spellEnd"/>
      <w:r w:rsidRPr="000C7BE6">
        <w:t xml:space="preserve"> Methane In The Landfill. Here's Why It </w:t>
      </w:r>
      <w:proofErr w:type="spellStart"/>
      <w:r w:rsidRPr="000C7BE6">
        <w:t>MaPers</w:t>
      </w:r>
      <w:proofErr w:type="spellEnd"/>
      <w:r w:rsidRPr="000C7BE6">
        <w:t xml:space="preserve"> For The</w:t>
      </w:r>
      <w:r>
        <w:t xml:space="preserve"> </w:t>
      </w:r>
      <w:r w:rsidRPr="000C7BE6">
        <w:t>Climate,</w:t>
      </w:r>
      <w:r w:rsidRPr="000C7BE6">
        <w:rPr>
          <w:rFonts w:hint="eastAsia"/>
        </w:rPr>
        <w:t>”</w:t>
      </w:r>
      <w:r w:rsidRPr="000C7BE6">
        <w:t xml:space="preserve"> July 13, 2021 link</w:t>
      </w:r>
    </w:p>
  </w:footnote>
  <w:footnote w:id="18">
    <w:p w14:paraId="3F309A43" w14:textId="77777777" w:rsidR="006F646F" w:rsidRDefault="006F646F" w:rsidP="006F646F">
      <w:pPr>
        <w:pStyle w:val="FootnoteText"/>
      </w:pPr>
      <w:r>
        <w:rPr>
          <w:rStyle w:val="FootnoteReference"/>
        </w:rPr>
        <w:footnoteRef/>
      </w:r>
      <w:r>
        <w:t xml:space="preserve"> </w:t>
      </w:r>
      <w:r w:rsidRPr="000D5D5D">
        <w:rPr>
          <w:rFonts w:hint="eastAsia"/>
        </w:rPr>
        <w:t>“</w:t>
      </w:r>
      <w:r w:rsidRPr="000D5D5D">
        <w:t>Existing measures to burn off the powerful greenhouse gas allow far more to slip by than had been</w:t>
      </w:r>
      <w:r>
        <w:t xml:space="preserve"> </w:t>
      </w:r>
      <w:r w:rsidRPr="000D5D5D">
        <w:t>believed, according to the paper published on Thursday in Science.</w:t>
      </w:r>
      <w:r w:rsidRPr="000D5D5D">
        <w:rPr>
          <w:rFonts w:hint="eastAsia"/>
        </w:rPr>
        <w:t>”</w:t>
      </w:r>
      <w:r w:rsidRPr="000D5D5D">
        <w:t xml:space="preserve"> </w:t>
      </w:r>
      <w:r w:rsidRPr="000D5D5D">
        <w:rPr>
          <w:rFonts w:hint="eastAsia"/>
        </w:rPr>
        <w:t>“</w:t>
      </w:r>
      <w:r w:rsidRPr="000D5D5D">
        <w:t>Study: Methane emissions may</w:t>
      </w:r>
      <w:r>
        <w:t xml:space="preserve"> </w:t>
      </w:r>
      <w:r w:rsidRPr="000D5D5D">
        <w:t>be five</w:t>
      </w:r>
      <w:r>
        <w:t xml:space="preserve"> </w:t>
      </w:r>
      <w:r w:rsidRPr="000D5D5D">
        <w:t>times higher than previously thought,</w:t>
      </w:r>
      <w:r w:rsidRPr="000D5D5D">
        <w:rPr>
          <w:rFonts w:hint="eastAsia"/>
        </w:rPr>
        <w:t>”</w:t>
      </w:r>
      <w:r w:rsidRPr="000D5D5D">
        <w:t xml:space="preserve"> The Hill, September 2022. link</w:t>
      </w:r>
    </w:p>
  </w:footnote>
  <w:footnote w:id="19">
    <w:p w14:paraId="469AD402" w14:textId="77777777" w:rsidR="006F646F" w:rsidRDefault="006F646F" w:rsidP="006F646F">
      <w:pPr>
        <w:pStyle w:val="FootnoteText"/>
      </w:pPr>
      <w:r>
        <w:rPr>
          <w:rStyle w:val="FootnoteReference"/>
        </w:rPr>
        <w:footnoteRef/>
      </w:r>
      <w:r>
        <w:t xml:space="preserve"> </w:t>
      </w:r>
      <w:r w:rsidRPr="00CD7F62">
        <w:rPr>
          <w:rFonts w:hint="eastAsia"/>
        </w:rPr>
        <w:t>“</w:t>
      </w:r>
      <w:r w:rsidRPr="00CD7F62">
        <w:t>Methane Emissions Reduction Program: The Next Step in the United States</w:t>
      </w:r>
      <w:r w:rsidRPr="00CD7F62">
        <w:rPr>
          <w:rFonts w:hint="eastAsia"/>
        </w:rPr>
        <w:t>’</w:t>
      </w:r>
      <w:r w:rsidRPr="00CD7F62">
        <w:t xml:space="preserve"> Efforts to Tackle a Potent</w:t>
      </w:r>
      <w:r>
        <w:t xml:space="preserve"> </w:t>
      </w:r>
      <w:r w:rsidRPr="00CD7F62">
        <w:t>Greenhouse Gas,</w:t>
      </w:r>
      <w:r w:rsidRPr="00CD7F62">
        <w:rPr>
          <w:rFonts w:hint="eastAsia"/>
        </w:rPr>
        <w:t>”</w:t>
      </w:r>
      <w:r w:rsidRPr="00CD7F62">
        <w:t xml:space="preserve"> Covington, July 2022. link</w:t>
      </w:r>
    </w:p>
  </w:footnote>
  <w:footnote w:id="20">
    <w:p w14:paraId="3CC41822" w14:textId="77777777" w:rsidR="006F646F" w:rsidRDefault="006F646F" w:rsidP="006F646F">
      <w:pPr>
        <w:pStyle w:val="FootnoteText"/>
      </w:pPr>
      <w:r>
        <w:rPr>
          <w:rStyle w:val="FootnoteReference"/>
        </w:rPr>
        <w:footnoteRef/>
      </w:r>
      <w:r>
        <w:t xml:space="preserve"> </w:t>
      </w:r>
      <w:r w:rsidRPr="004F4C0D">
        <w:rPr>
          <w:rFonts w:hint="eastAsia"/>
        </w:rPr>
        <w:t>“</w:t>
      </w:r>
      <w:r w:rsidRPr="004F4C0D">
        <w:t>Global Methane Assessment: Benefits and Costs of Mitigating Methane Emissions,</w:t>
      </w:r>
      <w:r w:rsidRPr="004F4C0D">
        <w:rPr>
          <w:rFonts w:hint="eastAsia"/>
        </w:rPr>
        <w:t>”</w:t>
      </w:r>
      <w:r w:rsidRPr="004F4C0D">
        <w:t xml:space="preserve"> United Nations</w:t>
      </w:r>
      <w:r>
        <w:t xml:space="preserve"> </w:t>
      </w:r>
      <w:r w:rsidRPr="004F4C0D">
        <w:t xml:space="preserve">Environment </w:t>
      </w:r>
      <w:proofErr w:type="spellStart"/>
      <w:r w:rsidRPr="004F4C0D">
        <w:t>Programme</w:t>
      </w:r>
      <w:proofErr w:type="spellEnd"/>
      <w:r w:rsidRPr="004F4C0D">
        <w:t xml:space="preserve"> and Climate and Clean Air Coalition, 2021. link</w:t>
      </w:r>
    </w:p>
  </w:footnote>
  <w:footnote w:id="21">
    <w:p w14:paraId="49DEAE29" w14:textId="77777777" w:rsidR="006F646F" w:rsidRDefault="006F646F" w:rsidP="006F646F">
      <w:pPr>
        <w:pStyle w:val="FootnoteText"/>
      </w:pPr>
      <w:r>
        <w:rPr>
          <w:rStyle w:val="FootnoteReference"/>
        </w:rPr>
        <w:footnoteRef/>
      </w:r>
      <w:r>
        <w:t xml:space="preserve"> </w:t>
      </w:r>
      <w:r w:rsidRPr="00BF3E81">
        <w:t xml:space="preserve">Environmental Protection Agency, </w:t>
      </w:r>
      <w:r w:rsidRPr="00BF3E81">
        <w:rPr>
          <w:rFonts w:hint="eastAsia"/>
        </w:rPr>
        <w:t>“</w:t>
      </w:r>
      <w:r w:rsidRPr="00BF3E81">
        <w:t>Basic Information about Landfill Gas.</w:t>
      </w:r>
      <w:r w:rsidRPr="00BF3E81">
        <w:rPr>
          <w:rFonts w:hint="eastAsia"/>
        </w:rPr>
        <w:t>”</w:t>
      </w:r>
      <w:r w:rsidRPr="00BF3E81">
        <w:t xml:space="preserve"> link</w:t>
      </w:r>
    </w:p>
  </w:footnote>
  <w:footnote w:id="22">
    <w:p w14:paraId="7ECC449D" w14:textId="77777777" w:rsidR="006F646F" w:rsidRDefault="006F646F" w:rsidP="006F646F">
      <w:pPr>
        <w:pStyle w:val="FootnoteText"/>
      </w:pPr>
      <w:r>
        <w:rPr>
          <w:rStyle w:val="FootnoteReference"/>
        </w:rPr>
        <w:footnoteRef/>
      </w:r>
      <w:r>
        <w:t xml:space="preserve"> </w:t>
      </w:r>
      <w:hyperlink r:id="rId2" w:tgtFrame="_blank" w:history="1">
        <w:r w:rsidRPr="00465D46">
          <w:rPr>
            <w:rStyle w:val="Hyperlink1"/>
          </w:rPr>
          <w:t>Oregon's consumption-based greenhouse gas emissions in 2015</w:t>
        </w:r>
      </w:hyperlink>
      <w:r>
        <w:t xml:space="preserve">. Post-consumer disposal = 0.5 </w:t>
      </w:r>
      <w:r w:rsidRPr="00A073D5">
        <w:t>million MTCO2e</w:t>
      </w:r>
      <w:r>
        <w:t xml:space="preserve">. Total Oregon consumption-based GHG emissions = </w:t>
      </w:r>
      <w:r w:rsidRPr="00A073D5">
        <w:t>88.7 million MTCO2e</w:t>
      </w:r>
      <w:r>
        <w:t>.</w:t>
      </w:r>
    </w:p>
  </w:footnote>
  <w:footnote w:id="23">
    <w:p w14:paraId="7D71468C" w14:textId="77777777" w:rsidR="006F646F" w:rsidRPr="00CD7D39" w:rsidRDefault="006F646F" w:rsidP="006F646F">
      <w:pPr>
        <w:pStyle w:val="FootnoteText"/>
      </w:pPr>
      <w:r>
        <w:rPr>
          <w:rStyle w:val="FootnoteReference"/>
        </w:rPr>
        <w:footnoteRef/>
      </w:r>
      <w:r>
        <w:t xml:space="preserve"> </w:t>
      </w:r>
      <w:r w:rsidRPr="00CD7D39">
        <w:rPr>
          <w:rFonts w:hint="eastAsia"/>
        </w:rPr>
        <w:t>”</w:t>
      </w:r>
      <w:r w:rsidRPr="00CD7D39">
        <w:t>Oregon</w:t>
      </w:r>
      <w:r w:rsidRPr="00CD7D39">
        <w:rPr>
          <w:rFonts w:hint="eastAsia"/>
        </w:rPr>
        <w:t>’</w:t>
      </w:r>
      <w:r w:rsidRPr="00CD7D39">
        <w:t>s Greenhouse Gas Emissions through 2015: An assessment of Oregon</w:t>
      </w:r>
      <w:r w:rsidRPr="00CD7D39">
        <w:rPr>
          <w:rFonts w:hint="eastAsia"/>
        </w:rPr>
        <w:t>’</w:t>
      </w:r>
      <w:r w:rsidRPr="00CD7D39">
        <w:t>s sector-based and</w:t>
      </w:r>
    </w:p>
    <w:p w14:paraId="7DAC7173" w14:textId="77777777" w:rsidR="006F646F" w:rsidRDefault="006F646F" w:rsidP="006F646F">
      <w:pPr>
        <w:pStyle w:val="FootnoteText"/>
      </w:pPr>
      <w:r w:rsidRPr="00CD7D39">
        <w:t>consumption-based greenhouse gas emissions,</w:t>
      </w:r>
      <w:r w:rsidRPr="00CD7D39">
        <w:rPr>
          <w:rFonts w:hint="eastAsia"/>
        </w:rPr>
        <w:t>”</w:t>
      </w:r>
      <w:r w:rsidRPr="00CD7D39">
        <w:t xml:space="preserve"> May 2018. link</w:t>
      </w:r>
    </w:p>
  </w:footnote>
  <w:footnote w:id="24">
    <w:p w14:paraId="5B894E13" w14:textId="77777777" w:rsidR="006F646F" w:rsidRPr="003A3E13" w:rsidRDefault="006F646F" w:rsidP="006F646F">
      <w:pPr>
        <w:pStyle w:val="FootnoteText"/>
      </w:pPr>
      <w:r>
        <w:rPr>
          <w:rStyle w:val="FootnoteReference"/>
        </w:rPr>
        <w:footnoteRef/>
      </w:r>
      <w:r>
        <w:t xml:space="preserve"> </w:t>
      </w:r>
      <w:r w:rsidRPr="003A3E13">
        <w:rPr>
          <w:rFonts w:hint="eastAsia"/>
        </w:rPr>
        <w:t>“</w:t>
      </w:r>
      <w:r w:rsidRPr="003A3E13">
        <w:t>Emission Data for the Designated Pollutants,</w:t>
      </w:r>
      <w:r w:rsidRPr="003A3E13">
        <w:rPr>
          <w:rFonts w:hint="eastAsia"/>
        </w:rPr>
        <w:t>”</w:t>
      </w:r>
      <w:r w:rsidRPr="003A3E13">
        <w:t xml:space="preserve"> Oregon Amended State Plan to Implement Emissions</w:t>
      </w:r>
    </w:p>
    <w:p w14:paraId="3D850E23" w14:textId="77777777" w:rsidR="006F646F" w:rsidRPr="003A3E13" w:rsidRDefault="006F646F" w:rsidP="006F646F">
      <w:pPr>
        <w:pStyle w:val="FootnoteText"/>
      </w:pPr>
      <w:r w:rsidRPr="003A3E13">
        <w:t>Guidelines for Municipal Solid Waste Landfills, Oregon Department of Environmental Quality, August 1,</w:t>
      </w:r>
    </w:p>
    <w:p w14:paraId="347C2963" w14:textId="77777777" w:rsidR="006F646F" w:rsidRDefault="006F646F" w:rsidP="006F646F">
      <w:pPr>
        <w:pStyle w:val="FootnoteText"/>
      </w:pPr>
      <w:r w:rsidRPr="003A3E13">
        <w:t>2019.</w:t>
      </w:r>
    </w:p>
  </w:footnote>
  <w:footnote w:id="25">
    <w:p w14:paraId="1A4C782F" w14:textId="77777777" w:rsidR="006F646F" w:rsidRDefault="006F646F" w:rsidP="006F646F">
      <w:pPr>
        <w:pStyle w:val="FootnoteText"/>
      </w:pPr>
      <w:r>
        <w:rPr>
          <w:rStyle w:val="FootnoteReference"/>
        </w:rPr>
        <w:footnoteRef/>
      </w:r>
      <w:r>
        <w:t xml:space="preserve"> </w:t>
      </w:r>
      <w:r w:rsidRPr="00B00094">
        <w:rPr>
          <w:rFonts w:hint="eastAsia"/>
        </w:rPr>
        <w:t>“</w:t>
      </w:r>
      <w:r w:rsidRPr="00B00094">
        <w:t>Methane menace: Aerial survey spots 'super-</w:t>
      </w:r>
      <w:proofErr w:type="spellStart"/>
      <w:r w:rsidRPr="00B00094">
        <w:t>emiPer</w:t>
      </w:r>
      <w:proofErr w:type="spellEnd"/>
      <w:r w:rsidRPr="00B00094">
        <w:t>' landfills,</w:t>
      </w:r>
      <w:r w:rsidRPr="00B00094">
        <w:rPr>
          <w:rFonts w:hint="eastAsia"/>
        </w:rPr>
        <w:t>”</w:t>
      </w:r>
      <w:r w:rsidRPr="00B00094">
        <w:t xml:space="preserve"> Reuters, June 2021 link</w:t>
      </w:r>
    </w:p>
  </w:footnote>
  <w:footnote w:id="26">
    <w:p w14:paraId="02AB65EA" w14:textId="77777777" w:rsidR="006F646F" w:rsidRDefault="006F646F" w:rsidP="006F646F">
      <w:pPr>
        <w:pStyle w:val="FootnoteText"/>
      </w:pPr>
      <w:r>
        <w:rPr>
          <w:rStyle w:val="FootnoteReference"/>
        </w:rPr>
        <w:footnoteRef/>
      </w:r>
      <w:r>
        <w:t xml:space="preserve"> </w:t>
      </w:r>
      <w:r w:rsidRPr="000737ED">
        <w:rPr>
          <w:rFonts w:hint="eastAsia"/>
        </w:rPr>
        <w:t>“</w:t>
      </w:r>
      <w:r w:rsidRPr="000737ED">
        <w:t>Fugitive Methane Worsens Warming: New Assessments Point To Urgent Oil And Gas Fix,</w:t>
      </w:r>
      <w:r w:rsidRPr="000737ED">
        <w:rPr>
          <w:rFonts w:hint="eastAsia"/>
        </w:rPr>
        <w:t>”</w:t>
      </w:r>
      <w:r w:rsidRPr="000737ED">
        <w:t xml:space="preserve"> Forbes, August</w:t>
      </w:r>
      <w:r>
        <w:t xml:space="preserve"> </w:t>
      </w:r>
      <w:r w:rsidRPr="000737ED">
        <w:t>2021. link</w:t>
      </w:r>
    </w:p>
  </w:footnote>
  <w:footnote w:id="27">
    <w:p w14:paraId="04717663" w14:textId="77777777" w:rsidR="006F646F" w:rsidRDefault="006F646F" w:rsidP="006F646F">
      <w:pPr>
        <w:pStyle w:val="FootnoteText"/>
      </w:pPr>
      <w:r>
        <w:rPr>
          <w:rStyle w:val="FootnoteReference"/>
        </w:rPr>
        <w:footnoteRef/>
      </w:r>
      <w:r>
        <w:t xml:space="preserve"> </w:t>
      </w:r>
      <w:r w:rsidRPr="002604CD">
        <w:rPr>
          <w:rFonts w:hint="eastAsia"/>
        </w:rPr>
        <w:t>“</w:t>
      </w:r>
      <w:r w:rsidRPr="002604CD">
        <w:t xml:space="preserve">With landfill methane in the climate spotlight, satellite and flyover measurements </w:t>
      </w:r>
      <w:proofErr w:type="spellStart"/>
      <w:r w:rsidRPr="002604CD">
        <w:t>aPract</w:t>
      </w:r>
      <w:proofErr w:type="spellEnd"/>
      <w:r w:rsidRPr="002604CD">
        <w:t xml:space="preserve"> a following,</w:t>
      </w:r>
      <w:r w:rsidRPr="002604CD">
        <w:rPr>
          <w:rFonts w:hint="eastAsia"/>
        </w:rPr>
        <w:t>”</w:t>
      </w:r>
      <w:r>
        <w:t xml:space="preserve"> </w:t>
      </w:r>
      <w:r w:rsidRPr="002604CD">
        <w:t>Waste Dive, November 2021 link</w:t>
      </w:r>
    </w:p>
  </w:footnote>
  <w:footnote w:id="28">
    <w:p w14:paraId="0FD7662C" w14:textId="77777777" w:rsidR="006F646F" w:rsidRDefault="006F646F" w:rsidP="006F646F">
      <w:pPr>
        <w:pStyle w:val="FootnoteText"/>
      </w:pPr>
      <w:r>
        <w:rPr>
          <w:rStyle w:val="FootnoteReference"/>
        </w:rPr>
        <w:footnoteRef/>
      </w:r>
      <w:r>
        <w:t xml:space="preserve"> </w:t>
      </w:r>
      <w:r w:rsidRPr="007E612E">
        <w:rPr>
          <w:rFonts w:hint="eastAsia"/>
        </w:rPr>
        <w:t>“</w:t>
      </w:r>
      <w:r w:rsidRPr="007E612E">
        <w:t>US waste and recycling sector faces mounting risks and opportunities from climate change,</w:t>
      </w:r>
      <w:r w:rsidRPr="007E612E">
        <w:rPr>
          <w:rFonts w:hint="eastAsia"/>
        </w:rPr>
        <w:t>”</w:t>
      </w:r>
      <w:r w:rsidRPr="007E612E">
        <w:t xml:space="preserve"> Waste Dive,</w:t>
      </w:r>
      <w:r>
        <w:t xml:space="preserve"> </w:t>
      </w:r>
      <w:r w:rsidRPr="007E612E">
        <w:t>November 2020. link</w:t>
      </w:r>
    </w:p>
  </w:footnote>
  <w:footnote w:id="29">
    <w:p w14:paraId="557764EA" w14:textId="77777777" w:rsidR="006F646F" w:rsidRPr="006535B9" w:rsidRDefault="006F646F" w:rsidP="006F646F">
      <w:pPr>
        <w:pStyle w:val="FootnoteText"/>
      </w:pPr>
      <w:r>
        <w:rPr>
          <w:rStyle w:val="FootnoteReference"/>
        </w:rPr>
        <w:footnoteRef/>
      </w:r>
      <w:r>
        <w:t xml:space="preserve"> </w:t>
      </w:r>
      <w:r w:rsidRPr="006535B9">
        <w:rPr>
          <w:rFonts w:hint="eastAsia"/>
        </w:rPr>
        <w:t>“</w:t>
      </w:r>
      <w:r w:rsidRPr="006535B9">
        <w:t>The first priority for landfills continues to be avoiding landfilling materials altogether,</w:t>
      </w:r>
      <w:r w:rsidRPr="006535B9">
        <w:rPr>
          <w:rFonts w:hint="eastAsia"/>
        </w:rPr>
        <w:t>”</w:t>
      </w:r>
      <w:r w:rsidRPr="006535B9">
        <w:t xml:space="preserve"> the CARB</w:t>
      </w:r>
    </w:p>
    <w:p w14:paraId="606745C7" w14:textId="77777777" w:rsidR="006F646F" w:rsidRDefault="006F646F" w:rsidP="006F646F">
      <w:pPr>
        <w:pStyle w:val="FootnoteText"/>
      </w:pPr>
      <w:r w:rsidRPr="006535B9">
        <w:t xml:space="preserve">spokesperson said, </w:t>
      </w:r>
      <w:r w:rsidRPr="006535B9">
        <w:rPr>
          <w:rFonts w:hint="eastAsia"/>
        </w:rPr>
        <w:t>“</w:t>
      </w:r>
      <w:r w:rsidRPr="006535B9">
        <w:t>which provides the most direct path for reducing landfill methane emissions.</w:t>
      </w:r>
      <w:r w:rsidRPr="006535B9">
        <w:rPr>
          <w:rFonts w:hint="eastAsia"/>
        </w:rPr>
        <w:t>”</w:t>
      </w:r>
      <w:r w:rsidRPr="006535B9">
        <w:t xml:space="preserve"> </w:t>
      </w:r>
      <w:r w:rsidRPr="006535B9">
        <w:rPr>
          <w:rFonts w:hint="eastAsia"/>
        </w:rPr>
        <w:t>“</w:t>
      </w:r>
      <w:r w:rsidRPr="006535B9">
        <w:t>With</w:t>
      </w:r>
      <w:r>
        <w:t xml:space="preserve"> </w:t>
      </w:r>
      <w:r w:rsidRPr="006535B9">
        <w:t xml:space="preserve">landfill methane in the climate spotlight, satellite and flyover measurements </w:t>
      </w:r>
      <w:proofErr w:type="spellStart"/>
      <w:r w:rsidRPr="006535B9">
        <w:t>aPract</w:t>
      </w:r>
      <w:proofErr w:type="spellEnd"/>
      <w:r w:rsidRPr="006535B9">
        <w:t xml:space="preserve"> a following,</w:t>
      </w:r>
      <w:r w:rsidRPr="006535B9">
        <w:rPr>
          <w:rFonts w:hint="eastAsia"/>
        </w:rPr>
        <w:t>”</w:t>
      </w:r>
      <w:r w:rsidRPr="006535B9">
        <w:t xml:space="preserve"> Waste Dive,</w:t>
      </w:r>
      <w:r>
        <w:t xml:space="preserve"> </w:t>
      </w:r>
      <w:r w:rsidRPr="006535B9">
        <w:t>November 2021. link</w:t>
      </w:r>
    </w:p>
  </w:footnote>
  <w:footnote w:id="30">
    <w:p w14:paraId="74ECC080" w14:textId="77777777" w:rsidR="006F646F" w:rsidRDefault="006F646F" w:rsidP="006F646F">
      <w:pPr>
        <w:pStyle w:val="FootnoteText"/>
      </w:pPr>
      <w:r>
        <w:rPr>
          <w:rStyle w:val="FootnoteReference"/>
        </w:rPr>
        <w:footnoteRef/>
      </w:r>
      <w:r>
        <w:t xml:space="preserve"> </w:t>
      </w:r>
      <w:r w:rsidRPr="00C67532">
        <w:rPr>
          <w:rFonts w:hint="eastAsia"/>
        </w:rPr>
        <w:t>“</w:t>
      </w:r>
      <w:r w:rsidRPr="00C67532">
        <w:t>Here</w:t>
      </w:r>
      <w:r w:rsidRPr="00C67532">
        <w:rPr>
          <w:rFonts w:hint="eastAsia"/>
        </w:rPr>
        <w:t>’</w:t>
      </w:r>
      <w:r w:rsidRPr="00C67532">
        <w:t>s Why Congress Should Pass The Food Donation Improvement Act,</w:t>
      </w:r>
      <w:r w:rsidRPr="00C67532">
        <w:rPr>
          <w:rFonts w:hint="eastAsia"/>
        </w:rPr>
        <w:t>”</w:t>
      </w:r>
      <w:r w:rsidRPr="00C67532">
        <w:t xml:space="preserve"> Forbes, March 2022. link</w:t>
      </w:r>
    </w:p>
  </w:footnote>
  <w:footnote w:id="31">
    <w:p w14:paraId="39A1ED34" w14:textId="77777777" w:rsidR="006F646F" w:rsidRDefault="006F646F" w:rsidP="006F646F">
      <w:pPr>
        <w:pStyle w:val="FootnoteText"/>
      </w:pPr>
      <w:r>
        <w:rPr>
          <w:rStyle w:val="FootnoteReference"/>
        </w:rPr>
        <w:footnoteRef/>
      </w:r>
      <w:r>
        <w:t xml:space="preserve"> </w:t>
      </w:r>
      <w:r w:rsidRPr="00FF20E4">
        <w:rPr>
          <w:rFonts w:hint="eastAsia"/>
        </w:rPr>
        <w:t>“</w:t>
      </w:r>
      <w:r w:rsidRPr="00FF20E4">
        <w:t>Reducing food waste seems to be one of those areas that is a win-win situation. No one is benefiting when</w:t>
      </w:r>
      <w:r>
        <w:t xml:space="preserve"> </w:t>
      </w:r>
      <w:r w:rsidRPr="00FF20E4">
        <w:t>we throw food away. The production of food itself causes emissions, and when the food goes to the landfill,</w:t>
      </w:r>
      <w:r>
        <w:t xml:space="preserve"> </w:t>
      </w:r>
      <w:r w:rsidRPr="00FF20E4">
        <w:t>it</w:t>
      </w:r>
      <w:r w:rsidRPr="00FF20E4">
        <w:rPr>
          <w:rFonts w:hint="eastAsia"/>
        </w:rPr>
        <w:t>’</w:t>
      </w:r>
      <w:r w:rsidRPr="00FF20E4">
        <w:t xml:space="preserve">s a huge </w:t>
      </w:r>
      <w:proofErr w:type="spellStart"/>
      <w:r w:rsidRPr="00FF20E4">
        <w:t>emiPer</w:t>
      </w:r>
      <w:proofErr w:type="spellEnd"/>
      <w:r w:rsidRPr="00FF20E4">
        <w:t xml:space="preserve"> of methane. So that</w:t>
      </w:r>
      <w:r w:rsidRPr="00FF20E4">
        <w:rPr>
          <w:rFonts w:hint="eastAsia"/>
        </w:rPr>
        <w:t>’</w:t>
      </w:r>
      <w:r w:rsidRPr="00FF20E4">
        <w:t>s not good on either end of it.</w:t>
      </w:r>
      <w:r w:rsidRPr="00FF20E4">
        <w:rPr>
          <w:rFonts w:hint="eastAsia"/>
        </w:rPr>
        <w:t>”</w:t>
      </w:r>
      <w:r w:rsidRPr="00FF20E4">
        <w:t xml:space="preserve"> The Harvard </w:t>
      </w:r>
      <w:proofErr w:type="spellStart"/>
      <w:r w:rsidRPr="00FF20E4">
        <w:t>GazePe</w:t>
      </w:r>
      <w:proofErr w:type="spellEnd"/>
      <w:r w:rsidRPr="00FF20E4">
        <w:t xml:space="preserve">, </w:t>
      </w:r>
      <w:r w:rsidRPr="00FF20E4">
        <w:rPr>
          <w:rFonts w:hint="eastAsia"/>
        </w:rPr>
        <w:t>“</w:t>
      </w:r>
      <w:r w:rsidRPr="00FF20E4">
        <w:t>How food</w:t>
      </w:r>
      <w:r>
        <w:t xml:space="preserve"> </w:t>
      </w:r>
      <w:r w:rsidRPr="00FF20E4">
        <w:t>donations can help fight hunger and climate change,</w:t>
      </w:r>
      <w:r w:rsidRPr="00FF20E4">
        <w:rPr>
          <w:rFonts w:hint="eastAsia"/>
        </w:rPr>
        <w:t>”</w:t>
      </w:r>
      <w:r w:rsidRPr="00FF20E4">
        <w:t xml:space="preserve"> August 2021. link</w:t>
      </w:r>
    </w:p>
  </w:footnote>
  <w:footnote w:id="32">
    <w:p w14:paraId="1415C3BA" w14:textId="77777777" w:rsidR="006F646F" w:rsidRPr="00373A28" w:rsidRDefault="006F646F" w:rsidP="006F646F">
      <w:pPr>
        <w:pStyle w:val="FootnoteText"/>
      </w:pPr>
      <w:r>
        <w:rPr>
          <w:rStyle w:val="FootnoteReference"/>
        </w:rPr>
        <w:footnoteRef/>
      </w:r>
      <w:r>
        <w:t xml:space="preserve"> </w:t>
      </w:r>
      <w:r w:rsidRPr="00373A28">
        <w:rPr>
          <w:rFonts w:hint="eastAsia"/>
        </w:rPr>
        <w:t>“</w:t>
      </w:r>
      <w:r w:rsidRPr="00373A28">
        <w:t>Inflation Reduction Act Adds First-time Charge for Methane Emissions for the Oil and Gas Sector,</w:t>
      </w:r>
      <w:r w:rsidRPr="00373A28">
        <w:rPr>
          <w:rFonts w:hint="eastAsia"/>
        </w:rPr>
        <w:t>”</w:t>
      </w:r>
    </w:p>
    <w:p w14:paraId="22027643" w14:textId="77777777" w:rsidR="006F646F" w:rsidRDefault="006F646F" w:rsidP="006F646F">
      <w:pPr>
        <w:pStyle w:val="FootnoteText"/>
      </w:pPr>
      <w:r w:rsidRPr="00373A28">
        <w:t>O</w:t>
      </w:r>
      <w:r w:rsidRPr="00373A28">
        <w:rPr>
          <w:rFonts w:hint="eastAsia"/>
        </w:rPr>
        <w:t>’</w:t>
      </w:r>
      <w:r w:rsidRPr="00373A28">
        <w:t>Melveny, August 2022. link</w:t>
      </w:r>
    </w:p>
  </w:footnote>
  <w:footnote w:id="33">
    <w:p w14:paraId="537FAAF3" w14:textId="77777777" w:rsidR="006F646F" w:rsidRDefault="006F646F" w:rsidP="006F646F">
      <w:pPr>
        <w:pStyle w:val="FootnoteText"/>
      </w:pPr>
      <w:r>
        <w:rPr>
          <w:rStyle w:val="FootnoteReference"/>
        </w:rPr>
        <w:footnoteRef/>
      </w:r>
      <w:r>
        <w:t xml:space="preserve"> </w:t>
      </w:r>
      <w:r w:rsidRPr="00191079">
        <w:rPr>
          <w:rFonts w:hint="eastAsia"/>
        </w:rPr>
        <w:t>“</w:t>
      </w:r>
      <w:r w:rsidRPr="00191079">
        <w:t xml:space="preserve">Growing numbers of customers and investors are insisting that all industries </w:t>
      </w:r>
      <w:r w:rsidRPr="00191079">
        <w:rPr>
          <w:rFonts w:hint="eastAsia"/>
        </w:rPr>
        <w:t>—</w:t>
      </w:r>
      <w:r w:rsidRPr="00191079">
        <w:t xml:space="preserve"> waste included </w:t>
      </w:r>
      <w:r w:rsidRPr="00191079">
        <w:rPr>
          <w:rFonts w:hint="eastAsia"/>
        </w:rPr>
        <w:t>—</w:t>
      </w:r>
      <w:r w:rsidRPr="00191079">
        <w:t xml:space="preserve"> record</w:t>
      </w:r>
      <w:r>
        <w:t xml:space="preserve"> </w:t>
      </w:r>
      <w:r w:rsidRPr="00191079">
        <w:t>greenhouse gas emissions and shrink their carbon footprints. In a relatively short period, considering how a</w:t>
      </w:r>
      <w:r>
        <w:t xml:space="preserve"> </w:t>
      </w:r>
      <w:r w:rsidRPr="00191079">
        <w:t>company may be exacerbating the effects of climate change morphed from a peripheral concern for investors</w:t>
      </w:r>
      <w:r>
        <w:t xml:space="preserve"> </w:t>
      </w:r>
      <w:r w:rsidRPr="00191079">
        <w:t>to a mainstream inquiry.</w:t>
      </w:r>
      <w:r w:rsidRPr="00191079">
        <w:rPr>
          <w:rFonts w:hint="eastAsia"/>
        </w:rPr>
        <w:t>”</w:t>
      </w:r>
      <w:r w:rsidRPr="00191079">
        <w:t xml:space="preserve"> </w:t>
      </w:r>
      <w:r w:rsidRPr="00191079">
        <w:rPr>
          <w:rFonts w:hint="eastAsia"/>
        </w:rPr>
        <w:t>“</w:t>
      </w:r>
      <w:r w:rsidRPr="00191079">
        <w:t>Renewed focus on landfill calculations as waste industry faces pressure to reduce</w:t>
      </w:r>
      <w:r>
        <w:t xml:space="preserve"> </w:t>
      </w:r>
      <w:r w:rsidRPr="00191079">
        <w:t>emissions,</w:t>
      </w:r>
      <w:r w:rsidRPr="00191079">
        <w:rPr>
          <w:rFonts w:hint="eastAsia"/>
        </w:rPr>
        <w:t>”</w:t>
      </w:r>
      <w:r w:rsidRPr="00191079">
        <w:t xml:space="preserve"> Waste Dive, March 2021. link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0D7A3" w14:textId="77777777" w:rsidR="006F646F" w:rsidRDefault="006F64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13C68" w14:textId="77777777" w:rsidR="006F646F" w:rsidRDefault="006F64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AF177" w14:textId="77777777" w:rsidR="006F646F" w:rsidRDefault="006F64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E3EB6"/>
    <w:multiLevelType w:val="hybridMultilevel"/>
    <w:tmpl w:val="7DF219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7D3A64"/>
    <w:multiLevelType w:val="multilevel"/>
    <w:tmpl w:val="739CC61E"/>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9DB3F06"/>
    <w:multiLevelType w:val="hybridMultilevel"/>
    <w:tmpl w:val="287C7A42"/>
    <w:styleLink w:val="ImportedStyle1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762A65"/>
    <w:multiLevelType w:val="multilevel"/>
    <w:tmpl w:val="5C72D6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E810A4D"/>
    <w:multiLevelType w:val="hybridMultilevel"/>
    <w:tmpl w:val="5044B39E"/>
    <w:styleLink w:val="ImportedStyle104"/>
    <w:lvl w:ilvl="0" w:tplc="30E4E4A0">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562BF0"/>
    <w:multiLevelType w:val="multilevel"/>
    <w:tmpl w:val="A9CEB7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13D746AC"/>
    <w:multiLevelType w:val="hybridMultilevel"/>
    <w:tmpl w:val="732265EE"/>
    <w:styleLink w:val="ImportedStyle2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94E70E3"/>
    <w:multiLevelType w:val="hybridMultilevel"/>
    <w:tmpl w:val="0B10C7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CA76A28"/>
    <w:multiLevelType w:val="hybridMultilevel"/>
    <w:tmpl w:val="BCB03770"/>
    <w:styleLink w:val="ImportedStyle1"/>
    <w:lvl w:ilvl="0" w:tplc="4CB4E9A0">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7706AF4">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216630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944229E6">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FC2BFA">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FE2DEA6">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064032EE">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E1AB3BC">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E7E6616">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1D5D1F30"/>
    <w:multiLevelType w:val="hybridMultilevel"/>
    <w:tmpl w:val="3C8AF4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4760F5"/>
    <w:multiLevelType w:val="hybridMultilevel"/>
    <w:tmpl w:val="9274D6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BD30B1"/>
    <w:multiLevelType w:val="hybridMultilevel"/>
    <w:tmpl w:val="E31C4FC8"/>
    <w:lvl w:ilvl="0" w:tplc="16FAE314">
      <w:start w:val="1"/>
      <w:numFmt w:val="upperLetter"/>
      <w:pStyle w:val="Heading3"/>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6C123C"/>
    <w:multiLevelType w:val="hybridMultilevel"/>
    <w:tmpl w:val="5ABE9D94"/>
    <w:styleLink w:val="ImportedStyle114"/>
    <w:lvl w:ilvl="0" w:tplc="BD26CEAA">
      <w:start w:val="1"/>
      <w:numFmt w:val="bullet"/>
      <w:suff w:val="nothing"/>
      <w:lvlText w:val="➡️"/>
      <w:lvlJc w:val="left"/>
      <w:pPr>
        <w:ind w:left="180" w:firstLine="180"/>
      </w:pPr>
      <w:rPr>
        <w:rFonts w:hAnsi="Arial Unicode MS"/>
        <w:caps w:val="0"/>
        <w:smallCaps w:val="0"/>
        <w:strike w:val="0"/>
        <w:dstrike w:val="0"/>
        <w:outline w:val="0"/>
        <w:emboss w:val="0"/>
        <w:imprint w:val="0"/>
        <w:spacing w:val="0"/>
        <w:w w:val="100"/>
        <w:kern w:val="0"/>
        <w:position w:val="-2"/>
        <w:highlight w:val="none"/>
        <w:vertAlign w:val="baseline"/>
      </w:rPr>
    </w:lvl>
    <w:lvl w:ilvl="1" w:tplc="E7564B76">
      <w:start w:val="1"/>
      <w:numFmt w:val="bullet"/>
      <w:suff w:val="nothing"/>
      <w:lvlText w:val="➡️"/>
      <w:lvlJc w:val="left"/>
      <w:pPr>
        <w:ind w:left="360" w:firstLine="180"/>
      </w:pPr>
      <w:rPr>
        <w:rFonts w:hAnsi="Arial Unicode MS"/>
        <w:caps w:val="0"/>
        <w:smallCaps w:val="0"/>
        <w:strike w:val="0"/>
        <w:dstrike w:val="0"/>
        <w:outline w:val="0"/>
        <w:emboss w:val="0"/>
        <w:imprint w:val="0"/>
        <w:spacing w:val="0"/>
        <w:w w:val="100"/>
        <w:kern w:val="0"/>
        <w:position w:val="-2"/>
        <w:highlight w:val="none"/>
        <w:vertAlign w:val="baseline"/>
      </w:rPr>
    </w:lvl>
    <w:lvl w:ilvl="2" w:tplc="6896A568">
      <w:start w:val="1"/>
      <w:numFmt w:val="bullet"/>
      <w:suff w:val="nothing"/>
      <w:lvlText w:val="➡️"/>
      <w:lvlJc w:val="left"/>
      <w:pPr>
        <w:ind w:left="540" w:firstLine="180"/>
      </w:pPr>
      <w:rPr>
        <w:rFonts w:hAnsi="Arial Unicode MS"/>
        <w:caps w:val="0"/>
        <w:smallCaps w:val="0"/>
        <w:strike w:val="0"/>
        <w:dstrike w:val="0"/>
        <w:outline w:val="0"/>
        <w:emboss w:val="0"/>
        <w:imprint w:val="0"/>
        <w:spacing w:val="0"/>
        <w:w w:val="100"/>
        <w:kern w:val="0"/>
        <w:position w:val="-2"/>
        <w:highlight w:val="none"/>
        <w:vertAlign w:val="baseline"/>
      </w:rPr>
    </w:lvl>
    <w:lvl w:ilvl="3" w:tplc="04D6C072">
      <w:start w:val="1"/>
      <w:numFmt w:val="bullet"/>
      <w:suff w:val="nothing"/>
      <w:lvlText w:val="➡️"/>
      <w:lvlJc w:val="left"/>
      <w:pPr>
        <w:ind w:left="720" w:firstLine="180"/>
      </w:pPr>
      <w:rPr>
        <w:rFonts w:hAnsi="Arial Unicode MS"/>
        <w:caps w:val="0"/>
        <w:smallCaps w:val="0"/>
        <w:strike w:val="0"/>
        <w:dstrike w:val="0"/>
        <w:outline w:val="0"/>
        <w:emboss w:val="0"/>
        <w:imprint w:val="0"/>
        <w:spacing w:val="0"/>
        <w:w w:val="100"/>
        <w:kern w:val="0"/>
        <w:position w:val="-2"/>
        <w:highlight w:val="none"/>
        <w:vertAlign w:val="baseline"/>
      </w:rPr>
    </w:lvl>
    <w:lvl w:ilvl="4" w:tplc="85ACB758">
      <w:start w:val="1"/>
      <w:numFmt w:val="bullet"/>
      <w:suff w:val="nothing"/>
      <w:lvlText w:val="➡️"/>
      <w:lvlJc w:val="left"/>
      <w:pPr>
        <w:ind w:left="900" w:firstLine="180"/>
      </w:pPr>
      <w:rPr>
        <w:rFonts w:hAnsi="Arial Unicode MS"/>
        <w:caps w:val="0"/>
        <w:smallCaps w:val="0"/>
        <w:strike w:val="0"/>
        <w:dstrike w:val="0"/>
        <w:outline w:val="0"/>
        <w:emboss w:val="0"/>
        <w:imprint w:val="0"/>
        <w:spacing w:val="0"/>
        <w:w w:val="100"/>
        <w:kern w:val="0"/>
        <w:position w:val="-2"/>
        <w:highlight w:val="none"/>
        <w:vertAlign w:val="baseline"/>
      </w:rPr>
    </w:lvl>
    <w:lvl w:ilvl="5" w:tplc="26F280F6">
      <w:start w:val="1"/>
      <w:numFmt w:val="bullet"/>
      <w:suff w:val="nothing"/>
      <w:lvlText w:val="➡️"/>
      <w:lvlJc w:val="left"/>
      <w:pPr>
        <w:ind w:left="1080" w:firstLine="180"/>
      </w:pPr>
      <w:rPr>
        <w:rFonts w:hAnsi="Arial Unicode MS"/>
        <w:caps w:val="0"/>
        <w:smallCaps w:val="0"/>
        <w:strike w:val="0"/>
        <w:dstrike w:val="0"/>
        <w:outline w:val="0"/>
        <w:emboss w:val="0"/>
        <w:imprint w:val="0"/>
        <w:spacing w:val="0"/>
        <w:w w:val="100"/>
        <w:kern w:val="0"/>
        <w:position w:val="-2"/>
        <w:highlight w:val="none"/>
        <w:vertAlign w:val="baseline"/>
      </w:rPr>
    </w:lvl>
    <w:lvl w:ilvl="6" w:tplc="EC0C121C">
      <w:start w:val="1"/>
      <w:numFmt w:val="bullet"/>
      <w:suff w:val="nothing"/>
      <w:lvlText w:val="➡️"/>
      <w:lvlJc w:val="left"/>
      <w:pPr>
        <w:ind w:left="1260" w:firstLine="180"/>
      </w:pPr>
      <w:rPr>
        <w:rFonts w:hAnsi="Arial Unicode MS"/>
        <w:caps w:val="0"/>
        <w:smallCaps w:val="0"/>
        <w:strike w:val="0"/>
        <w:dstrike w:val="0"/>
        <w:outline w:val="0"/>
        <w:emboss w:val="0"/>
        <w:imprint w:val="0"/>
        <w:spacing w:val="0"/>
        <w:w w:val="100"/>
        <w:kern w:val="0"/>
        <w:position w:val="-2"/>
        <w:highlight w:val="none"/>
        <w:vertAlign w:val="baseline"/>
      </w:rPr>
    </w:lvl>
    <w:lvl w:ilvl="7" w:tplc="0714066E">
      <w:start w:val="1"/>
      <w:numFmt w:val="bullet"/>
      <w:suff w:val="nothing"/>
      <w:lvlText w:val="➡️"/>
      <w:lvlJc w:val="left"/>
      <w:pPr>
        <w:ind w:left="1440" w:firstLine="180"/>
      </w:pPr>
      <w:rPr>
        <w:rFonts w:hAnsi="Arial Unicode MS"/>
        <w:caps w:val="0"/>
        <w:smallCaps w:val="0"/>
        <w:strike w:val="0"/>
        <w:dstrike w:val="0"/>
        <w:outline w:val="0"/>
        <w:emboss w:val="0"/>
        <w:imprint w:val="0"/>
        <w:spacing w:val="0"/>
        <w:w w:val="100"/>
        <w:kern w:val="0"/>
        <w:position w:val="-2"/>
        <w:highlight w:val="none"/>
        <w:vertAlign w:val="baseline"/>
      </w:rPr>
    </w:lvl>
    <w:lvl w:ilvl="8" w:tplc="F042C876">
      <w:start w:val="1"/>
      <w:numFmt w:val="bullet"/>
      <w:suff w:val="nothing"/>
      <w:lvlText w:val="➡️"/>
      <w:lvlJc w:val="left"/>
      <w:pPr>
        <w:ind w:left="1620" w:firstLine="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3" w15:restartNumberingAfterBreak="0">
    <w:nsid w:val="2E5E018B"/>
    <w:multiLevelType w:val="hybridMultilevel"/>
    <w:tmpl w:val="C9DA2A08"/>
    <w:lvl w:ilvl="0" w:tplc="0CDEEE5C">
      <w:start w:val="1"/>
      <w:numFmt w:val="lowerLetter"/>
      <w:lvlText w:val="%1)"/>
      <w:lvlJc w:val="left"/>
      <w:pPr>
        <w:ind w:left="720" w:hanging="360"/>
      </w:pPr>
      <w:rPr>
        <w:rFonts w:eastAsia="Times New Roman" w:cs="Arial"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942288"/>
    <w:multiLevelType w:val="multilevel"/>
    <w:tmpl w:val="DCCC1DFA"/>
    <w:styleLink w:val="CurrentList1"/>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EB63497"/>
    <w:multiLevelType w:val="hybridMultilevel"/>
    <w:tmpl w:val="A5507498"/>
    <w:lvl w:ilvl="0" w:tplc="FFFFFFFF">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5361BF8"/>
    <w:multiLevelType w:val="hybridMultilevel"/>
    <w:tmpl w:val="ED5217FE"/>
    <w:lvl w:ilvl="0" w:tplc="094E477C">
      <w:start w:val="1"/>
      <w:numFmt w:val="upperLetter"/>
      <w:lvlText w:val="%1."/>
      <w:lvlJc w:val="left"/>
      <w:pPr>
        <w:ind w:left="810" w:hanging="360"/>
      </w:pPr>
      <w:rPr>
        <w:rFonts w:hint="default"/>
        <w:b/>
        <w:color w:val="23487B"/>
        <w:sz w:val="24"/>
        <w:szCs w:val="24"/>
        <w:u w:val="none"/>
      </w:rPr>
    </w:lvl>
    <w:lvl w:ilvl="1" w:tplc="DE1450B8">
      <w:start w:val="1"/>
      <w:numFmt w:val="lowerLetter"/>
      <w:pStyle w:val="BCTTStyle3"/>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15:restartNumberingAfterBreak="0">
    <w:nsid w:val="4888456A"/>
    <w:multiLevelType w:val="hybridMultilevel"/>
    <w:tmpl w:val="6F84A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115E2C"/>
    <w:multiLevelType w:val="hybridMultilevel"/>
    <w:tmpl w:val="19FC3D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D557EEF"/>
    <w:multiLevelType w:val="hybridMultilevel"/>
    <w:tmpl w:val="1DDCC0D6"/>
    <w:styleLink w:val="Bullet4"/>
    <w:lvl w:ilvl="0" w:tplc="F2BEF896">
      <w:start w:val="1"/>
      <w:numFmt w:val="decimal"/>
      <w:lvlText w:val="LSCL-R-%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55D478EB"/>
    <w:multiLevelType w:val="hybridMultilevel"/>
    <w:tmpl w:val="69D6B808"/>
    <w:styleLink w:val="ImportedStyle10"/>
    <w:lvl w:ilvl="0" w:tplc="94A63A7A">
      <w:start w:val="1"/>
      <w:numFmt w:val="bullet"/>
      <w:lvlText w:val="-"/>
      <w:lvlJc w:val="left"/>
      <w:pPr>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E29053B2">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4C7CB68A">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68062812">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8B18BBA0">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6600800E">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2CFAD62C">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00C83A1A">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4D74B796">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564F4A83"/>
    <w:multiLevelType w:val="hybridMultilevel"/>
    <w:tmpl w:val="808048DA"/>
    <w:styleLink w:val="ImportedStyle2"/>
    <w:lvl w:ilvl="0" w:tplc="311C5B46">
      <w:start w:val="1"/>
      <w:numFmt w:val="lowerRoman"/>
      <w:lvlText w:val="%1."/>
      <w:lvlJc w:val="left"/>
      <w:pPr>
        <w:ind w:left="360" w:hanging="223"/>
      </w:pPr>
      <w:rPr>
        <w:rFonts w:hAnsi="Arial Unicode MS"/>
        <w:caps w:val="0"/>
        <w:smallCaps w:val="0"/>
        <w:strike w:val="0"/>
        <w:dstrike w:val="0"/>
        <w:outline w:val="0"/>
        <w:emboss w:val="0"/>
        <w:imprint w:val="0"/>
        <w:spacing w:val="0"/>
        <w:w w:val="100"/>
        <w:kern w:val="0"/>
        <w:position w:val="0"/>
        <w:highlight w:val="none"/>
        <w:vertAlign w:val="baseline"/>
      </w:rPr>
    </w:lvl>
    <w:lvl w:ilvl="1" w:tplc="E5E297C6">
      <w:start w:val="1"/>
      <w:numFmt w:val="lowerLetter"/>
      <w:lvlText w:val="%2."/>
      <w:lvlJc w:val="left"/>
      <w:pPr>
        <w:ind w:left="1080" w:hanging="450"/>
      </w:pPr>
      <w:rPr>
        <w:rFonts w:hAnsi="Arial Unicode MS"/>
        <w:caps w:val="0"/>
        <w:smallCaps w:val="0"/>
        <w:strike w:val="0"/>
        <w:dstrike w:val="0"/>
        <w:outline w:val="0"/>
        <w:emboss w:val="0"/>
        <w:imprint w:val="0"/>
        <w:spacing w:val="0"/>
        <w:w w:val="100"/>
        <w:kern w:val="0"/>
        <w:position w:val="0"/>
        <w:highlight w:val="none"/>
        <w:vertAlign w:val="baseline"/>
      </w:rPr>
    </w:lvl>
    <w:lvl w:ilvl="2" w:tplc="F6AE1C0E">
      <w:start w:val="1"/>
      <w:numFmt w:val="lowerRoman"/>
      <w:lvlText w:val="%3."/>
      <w:lvlJc w:val="left"/>
      <w:pPr>
        <w:ind w:left="1800" w:hanging="403"/>
      </w:pPr>
      <w:rPr>
        <w:rFonts w:hAnsi="Arial Unicode MS"/>
        <w:caps w:val="0"/>
        <w:smallCaps w:val="0"/>
        <w:strike w:val="0"/>
        <w:dstrike w:val="0"/>
        <w:outline w:val="0"/>
        <w:emboss w:val="0"/>
        <w:imprint w:val="0"/>
        <w:spacing w:val="0"/>
        <w:w w:val="100"/>
        <w:kern w:val="0"/>
        <w:position w:val="0"/>
        <w:highlight w:val="none"/>
        <w:vertAlign w:val="baseline"/>
      </w:rPr>
    </w:lvl>
    <w:lvl w:ilvl="3" w:tplc="AA88C2F8">
      <w:start w:val="1"/>
      <w:numFmt w:val="decimal"/>
      <w:lvlText w:val="%4."/>
      <w:lvlJc w:val="left"/>
      <w:pPr>
        <w:ind w:left="2520" w:hanging="450"/>
      </w:pPr>
      <w:rPr>
        <w:rFonts w:hAnsi="Arial Unicode MS"/>
        <w:caps w:val="0"/>
        <w:smallCaps w:val="0"/>
        <w:strike w:val="0"/>
        <w:dstrike w:val="0"/>
        <w:outline w:val="0"/>
        <w:emboss w:val="0"/>
        <w:imprint w:val="0"/>
        <w:spacing w:val="0"/>
        <w:w w:val="100"/>
        <w:kern w:val="0"/>
        <w:position w:val="0"/>
        <w:highlight w:val="none"/>
        <w:vertAlign w:val="baseline"/>
      </w:rPr>
    </w:lvl>
    <w:lvl w:ilvl="4" w:tplc="36EEA062">
      <w:start w:val="1"/>
      <w:numFmt w:val="lowerLetter"/>
      <w:lvlText w:val="%5."/>
      <w:lvlJc w:val="left"/>
      <w:pPr>
        <w:ind w:left="3240" w:hanging="450"/>
      </w:pPr>
      <w:rPr>
        <w:rFonts w:hAnsi="Arial Unicode MS"/>
        <w:caps w:val="0"/>
        <w:smallCaps w:val="0"/>
        <w:strike w:val="0"/>
        <w:dstrike w:val="0"/>
        <w:outline w:val="0"/>
        <w:emboss w:val="0"/>
        <w:imprint w:val="0"/>
        <w:spacing w:val="0"/>
        <w:w w:val="100"/>
        <w:kern w:val="0"/>
        <w:position w:val="0"/>
        <w:highlight w:val="none"/>
        <w:vertAlign w:val="baseline"/>
      </w:rPr>
    </w:lvl>
    <w:lvl w:ilvl="5" w:tplc="7BA85EE6">
      <w:start w:val="1"/>
      <w:numFmt w:val="lowerRoman"/>
      <w:lvlText w:val="%6."/>
      <w:lvlJc w:val="left"/>
      <w:pPr>
        <w:ind w:left="3960" w:hanging="403"/>
      </w:pPr>
      <w:rPr>
        <w:rFonts w:hAnsi="Arial Unicode MS"/>
        <w:caps w:val="0"/>
        <w:smallCaps w:val="0"/>
        <w:strike w:val="0"/>
        <w:dstrike w:val="0"/>
        <w:outline w:val="0"/>
        <w:emboss w:val="0"/>
        <w:imprint w:val="0"/>
        <w:spacing w:val="0"/>
        <w:w w:val="100"/>
        <w:kern w:val="0"/>
        <w:position w:val="0"/>
        <w:highlight w:val="none"/>
        <w:vertAlign w:val="baseline"/>
      </w:rPr>
    </w:lvl>
    <w:lvl w:ilvl="6" w:tplc="11B2200C">
      <w:start w:val="1"/>
      <w:numFmt w:val="decimal"/>
      <w:lvlText w:val="%7."/>
      <w:lvlJc w:val="left"/>
      <w:pPr>
        <w:ind w:left="4680" w:hanging="450"/>
      </w:pPr>
      <w:rPr>
        <w:rFonts w:hAnsi="Arial Unicode MS"/>
        <w:caps w:val="0"/>
        <w:smallCaps w:val="0"/>
        <w:strike w:val="0"/>
        <w:dstrike w:val="0"/>
        <w:outline w:val="0"/>
        <w:emboss w:val="0"/>
        <w:imprint w:val="0"/>
        <w:spacing w:val="0"/>
        <w:w w:val="100"/>
        <w:kern w:val="0"/>
        <w:position w:val="0"/>
        <w:highlight w:val="none"/>
        <w:vertAlign w:val="baseline"/>
      </w:rPr>
    </w:lvl>
    <w:lvl w:ilvl="7" w:tplc="E506C198">
      <w:start w:val="1"/>
      <w:numFmt w:val="lowerLetter"/>
      <w:lvlText w:val="%8."/>
      <w:lvlJc w:val="left"/>
      <w:pPr>
        <w:ind w:left="5400" w:hanging="450"/>
      </w:pPr>
      <w:rPr>
        <w:rFonts w:hAnsi="Arial Unicode MS"/>
        <w:caps w:val="0"/>
        <w:smallCaps w:val="0"/>
        <w:strike w:val="0"/>
        <w:dstrike w:val="0"/>
        <w:outline w:val="0"/>
        <w:emboss w:val="0"/>
        <w:imprint w:val="0"/>
        <w:spacing w:val="0"/>
        <w:w w:val="100"/>
        <w:kern w:val="0"/>
        <w:position w:val="0"/>
        <w:highlight w:val="none"/>
        <w:vertAlign w:val="baseline"/>
      </w:rPr>
    </w:lvl>
    <w:lvl w:ilvl="8" w:tplc="6846E45C">
      <w:start w:val="1"/>
      <w:numFmt w:val="lowerRoman"/>
      <w:lvlText w:val="%9."/>
      <w:lvlJc w:val="left"/>
      <w:pPr>
        <w:ind w:left="6120" w:hanging="40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56DF6B5A"/>
    <w:multiLevelType w:val="hybridMultilevel"/>
    <w:tmpl w:val="629C5A60"/>
    <w:styleLink w:val="ImportedStyle12"/>
    <w:lvl w:ilvl="0" w:tplc="9A1A665E">
      <w:start w:val="1"/>
      <w:numFmt w:val="upperLetter"/>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8FC98F0">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8E84E1E">
      <w:start w:val="1"/>
      <w:numFmt w:val="lowerRoman"/>
      <w:lvlText w:val="%3."/>
      <w:lvlJc w:val="left"/>
      <w:pPr>
        <w:ind w:left="1800" w:hanging="325"/>
      </w:pPr>
      <w:rPr>
        <w:rFonts w:hAnsi="Arial Unicode MS"/>
        <w:caps w:val="0"/>
        <w:smallCaps w:val="0"/>
        <w:strike w:val="0"/>
        <w:dstrike w:val="0"/>
        <w:outline w:val="0"/>
        <w:emboss w:val="0"/>
        <w:imprint w:val="0"/>
        <w:spacing w:val="0"/>
        <w:w w:val="100"/>
        <w:kern w:val="0"/>
        <w:position w:val="0"/>
        <w:highlight w:val="none"/>
        <w:vertAlign w:val="baseline"/>
      </w:rPr>
    </w:lvl>
    <w:lvl w:ilvl="3" w:tplc="4E3CEC96">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77E688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4900704">
      <w:start w:val="1"/>
      <w:numFmt w:val="lowerRoman"/>
      <w:lvlText w:val="%6."/>
      <w:lvlJc w:val="left"/>
      <w:pPr>
        <w:ind w:left="3960" w:hanging="325"/>
      </w:pPr>
      <w:rPr>
        <w:rFonts w:hAnsi="Arial Unicode MS"/>
        <w:caps w:val="0"/>
        <w:smallCaps w:val="0"/>
        <w:strike w:val="0"/>
        <w:dstrike w:val="0"/>
        <w:outline w:val="0"/>
        <w:emboss w:val="0"/>
        <w:imprint w:val="0"/>
        <w:spacing w:val="0"/>
        <w:w w:val="100"/>
        <w:kern w:val="0"/>
        <w:position w:val="0"/>
        <w:highlight w:val="none"/>
        <w:vertAlign w:val="baseline"/>
      </w:rPr>
    </w:lvl>
    <w:lvl w:ilvl="6" w:tplc="7ABE4F12">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904E70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9B4E5D0">
      <w:start w:val="1"/>
      <w:numFmt w:val="lowerRoman"/>
      <w:lvlText w:val="%9."/>
      <w:lvlJc w:val="left"/>
      <w:pPr>
        <w:ind w:left="6120" w:hanging="32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58FF64DB"/>
    <w:multiLevelType w:val="hybridMultilevel"/>
    <w:tmpl w:val="0D98F5A8"/>
    <w:lvl w:ilvl="0" w:tplc="C9485996">
      <w:start w:val="1"/>
      <w:numFmt w:val="upperLetter"/>
      <w:pStyle w:val="BCTTHeading2"/>
      <w:lvlText w:val="%1."/>
      <w:lvlJc w:val="left"/>
      <w:pPr>
        <w:ind w:left="720" w:hanging="360"/>
      </w:pPr>
      <w:rPr>
        <w:rFonts w:hint="default"/>
        <w:color w:val="23487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1763ADE"/>
    <w:multiLevelType w:val="hybridMultilevel"/>
    <w:tmpl w:val="30FA383A"/>
    <w:styleLink w:val="ImportedStyle11"/>
    <w:lvl w:ilvl="0" w:tplc="8B20BE2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C56650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4AED84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2F4103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41455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E021C4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DBEB3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36A342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16C866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625826A5"/>
    <w:multiLevelType w:val="hybridMultilevel"/>
    <w:tmpl w:val="888A7870"/>
    <w:styleLink w:val="CurrentList12"/>
    <w:lvl w:ilvl="0" w:tplc="04090015">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61C6D03"/>
    <w:multiLevelType w:val="hybridMultilevel"/>
    <w:tmpl w:val="992EDE26"/>
    <w:lvl w:ilvl="0" w:tplc="E21A952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27" w15:restartNumberingAfterBreak="0">
    <w:nsid w:val="76310223"/>
    <w:multiLevelType w:val="hybridMultilevel"/>
    <w:tmpl w:val="C9DA2A08"/>
    <w:lvl w:ilvl="0" w:tplc="FFFFFFFF">
      <w:start w:val="1"/>
      <w:numFmt w:val="lowerLetter"/>
      <w:lvlText w:val="%1)"/>
      <w:lvlJc w:val="left"/>
      <w:pPr>
        <w:ind w:left="720" w:hanging="360"/>
      </w:pPr>
      <w:rPr>
        <w:rFonts w:eastAsia="Times New Roman" w:cs="Arial" w:hint="default"/>
        <w:sz w:val="2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981BD88"/>
    <w:multiLevelType w:val="hybridMultilevel"/>
    <w:tmpl w:val="E9C86446"/>
    <w:styleLink w:val="ImportedStyle15"/>
    <w:lvl w:ilvl="0" w:tplc="63A2A070">
      <w:start w:val="1"/>
      <w:numFmt w:val="bullet"/>
      <w:lvlText w:val="·"/>
      <w:lvlJc w:val="left"/>
      <w:pPr>
        <w:ind w:left="720" w:hanging="360"/>
      </w:pPr>
      <w:rPr>
        <w:rFonts w:ascii="Symbol" w:hAnsi="Symbol" w:hint="default"/>
      </w:rPr>
    </w:lvl>
    <w:lvl w:ilvl="1" w:tplc="6040F610">
      <w:start w:val="1"/>
      <w:numFmt w:val="bullet"/>
      <w:lvlText w:val="o"/>
      <w:lvlJc w:val="left"/>
      <w:pPr>
        <w:ind w:left="1440" w:hanging="360"/>
      </w:pPr>
      <w:rPr>
        <w:rFonts w:ascii="Courier New" w:hAnsi="Courier New" w:hint="default"/>
      </w:rPr>
    </w:lvl>
    <w:lvl w:ilvl="2" w:tplc="759A33EA">
      <w:start w:val="1"/>
      <w:numFmt w:val="bullet"/>
      <w:lvlText w:val=""/>
      <w:lvlJc w:val="left"/>
      <w:pPr>
        <w:ind w:left="2160" w:hanging="360"/>
      </w:pPr>
      <w:rPr>
        <w:rFonts w:ascii="Wingdings" w:hAnsi="Wingdings" w:hint="default"/>
      </w:rPr>
    </w:lvl>
    <w:lvl w:ilvl="3" w:tplc="0B32C2E0">
      <w:start w:val="1"/>
      <w:numFmt w:val="bullet"/>
      <w:lvlText w:val=""/>
      <w:lvlJc w:val="left"/>
      <w:pPr>
        <w:ind w:left="2880" w:hanging="360"/>
      </w:pPr>
      <w:rPr>
        <w:rFonts w:ascii="Symbol" w:hAnsi="Symbol" w:hint="default"/>
      </w:rPr>
    </w:lvl>
    <w:lvl w:ilvl="4" w:tplc="A7726BEA">
      <w:start w:val="1"/>
      <w:numFmt w:val="bullet"/>
      <w:lvlText w:val="o"/>
      <w:lvlJc w:val="left"/>
      <w:pPr>
        <w:ind w:left="3600" w:hanging="360"/>
      </w:pPr>
      <w:rPr>
        <w:rFonts w:ascii="Courier New" w:hAnsi="Courier New" w:hint="default"/>
      </w:rPr>
    </w:lvl>
    <w:lvl w:ilvl="5" w:tplc="5870193E">
      <w:start w:val="1"/>
      <w:numFmt w:val="bullet"/>
      <w:lvlText w:val=""/>
      <w:lvlJc w:val="left"/>
      <w:pPr>
        <w:ind w:left="4320" w:hanging="360"/>
      </w:pPr>
      <w:rPr>
        <w:rFonts w:ascii="Wingdings" w:hAnsi="Wingdings" w:hint="default"/>
      </w:rPr>
    </w:lvl>
    <w:lvl w:ilvl="6" w:tplc="9D5EA5BE">
      <w:start w:val="1"/>
      <w:numFmt w:val="bullet"/>
      <w:lvlText w:val=""/>
      <w:lvlJc w:val="left"/>
      <w:pPr>
        <w:ind w:left="5040" w:hanging="360"/>
      </w:pPr>
      <w:rPr>
        <w:rFonts w:ascii="Symbol" w:hAnsi="Symbol" w:hint="default"/>
      </w:rPr>
    </w:lvl>
    <w:lvl w:ilvl="7" w:tplc="FD624850">
      <w:start w:val="1"/>
      <w:numFmt w:val="bullet"/>
      <w:lvlText w:val="o"/>
      <w:lvlJc w:val="left"/>
      <w:pPr>
        <w:ind w:left="5760" w:hanging="360"/>
      </w:pPr>
      <w:rPr>
        <w:rFonts w:ascii="Courier New" w:hAnsi="Courier New" w:hint="default"/>
      </w:rPr>
    </w:lvl>
    <w:lvl w:ilvl="8" w:tplc="71E021E4">
      <w:start w:val="1"/>
      <w:numFmt w:val="bullet"/>
      <w:lvlText w:val=""/>
      <w:lvlJc w:val="left"/>
      <w:pPr>
        <w:ind w:left="6480" w:hanging="360"/>
      </w:pPr>
      <w:rPr>
        <w:rFonts w:ascii="Wingdings" w:hAnsi="Wingdings" w:hint="default"/>
      </w:rPr>
    </w:lvl>
  </w:abstractNum>
  <w:abstractNum w:abstractNumId="29" w15:restartNumberingAfterBreak="0">
    <w:nsid w:val="79EA4A99"/>
    <w:multiLevelType w:val="multilevel"/>
    <w:tmpl w:val="352AF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42631861">
    <w:abstractNumId w:val="23"/>
  </w:num>
  <w:num w:numId="2" w16cid:durableId="170604830">
    <w:abstractNumId w:val="28"/>
  </w:num>
  <w:num w:numId="3" w16cid:durableId="374281542">
    <w:abstractNumId w:val="8"/>
  </w:num>
  <w:num w:numId="4" w16cid:durableId="2096198813">
    <w:abstractNumId w:val="16"/>
  </w:num>
  <w:num w:numId="5" w16cid:durableId="973295714">
    <w:abstractNumId w:val="25"/>
  </w:num>
  <w:num w:numId="6" w16cid:durableId="52969191">
    <w:abstractNumId w:val="14"/>
  </w:num>
  <w:num w:numId="7" w16cid:durableId="19205847">
    <w:abstractNumId w:val="4"/>
    <w:lvlOverride w:ilvl="0">
      <w:startOverride w:val="1"/>
    </w:lvlOverride>
  </w:num>
  <w:num w:numId="8" w16cid:durableId="317612362">
    <w:abstractNumId w:val="6"/>
  </w:num>
  <w:num w:numId="9" w16cid:durableId="351610188">
    <w:abstractNumId w:val="19"/>
  </w:num>
  <w:num w:numId="10" w16cid:durableId="506870917">
    <w:abstractNumId w:val="20"/>
  </w:num>
  <w:num w:numId="11" w16cid:durableId="49692892">
    <w:abstractNumId w:val="21"/>
  </w:num>
  <w:num w:numId="12" w16cid:durableId="1888057921">
    <w:abstractNumId w:val="12"/>
  </w:num>
  <w:num w:numId="13" w16cid:durableId="1340620304">
    <w:abstractNumId w:val="24"/>
  </w:num>
  <w:num w:numId="14" w16cid:durableId="762725339">
    <w:abstractNumId w:val="2"/>
  </w:num>
  <w:num w:numId="15" w16cid:durableId="1582327580">
    <w:abstractNumId w:val="22"/>
  </w:num>
  <w:num w:numId="16" w16cid:durableId="1408654604">
    <w:abstractNumId w:val="11"/>
  </w:num>
  <w:num w:numId="17" w16cid:durableId="1557277271">
    <w:abstractNumId w:val="29"/>
  </w:num>
  <w:num w:numId="18" w16cid:durableId="2125344455">
    <w:abstractNumId w:val="10"/>
  </w:num>
  <w:num w:numId="19" w16cid:durableId="904413601">
    <w:abstractNumId w:val="18"/>
  </w:num>
  <w:num w:numId="20" w16cid:durableId="862476479">
    <w:abstractNumId w:val="7"/>
  </w:num>
  <w:num w:numId="21" w16cid:durableId="1720469169">
    <w:abstractNumId w:val="26"/>
  </w:num>
  <w:num w:numId="22" w16cid:durableId="850411221">
    <w:abstractNumId w:val="1"/>
  </w:num>
  <w:num w:numId="23" w16cid:durableId="833187637">
    <w:abstractNumId w:val="4"/>
  </w:num>
  <w:num w:numId="24" w16cid:durableId="850871692">
    <w:abstractNumId w:val="15"/>
  </w:num>
  <w:num w:numId="25" w16cid:durableId="601451457">
    <w:abstractNumId w:val="9"/>
  </w:num>
  <w:num w:numId="26" w16cid:durableId="171192112">
    <w:abstractNumId w:val="0"/>
  </w:num>
  <w:num w:numId="27" w16cid:durableId="1922179510">
    <w:abstractNumId w:val="17"/>
  </w:num>
  <w:num w:numId="28" w16cid:durableId="817039705">
    <w:abstractNumId w:val="13"/>
  </w:num>
  <w:num w:numId="29" w16cid:durableId="2030833140">
    <w:abstractNumId w:val="11"/>
    <w:lvlOverride w:ilvl="0">
      <w:startOverride w:val="1"/>
    </w:lvlOverride>
  </w:num>
  <w:num w:numId="30" w16cid:durableId="2003461114">
    <w:abstractNumId w:val="11"/>
    <w:lvlOverride w:ilvl="0">
      <w:startOverride w:val="1"/>
    </w:lvlOverride>
  </w:num>
  <w:num w:numId="31" w16cid:durableId="54359434">
    <w:abstractNumId w:val="11"/>
    <w:lvlOverride w:ilvl="0">
      <w:startOverride w:val="1"/>
    </w:lvlOverride>
  </w:num>
  <w:num w:numId="32" w16cid:durableId="6470529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72317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40755328">
    <w:abstractNumId w:val="27"/>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CHERMER Maren">
    <w15:presenceInfo w15:providerId="AD" w15:userId="S::maren.schermer@bentoncountyor.gov::196e1f1d-2c25-48cb-82e7-5b9b694848cd"/>
  </w15:person>
  <w15:person w15:author="REDICK Daniel">
    <w15:presenceInfo w15:providerId="AD" w15:userId="S::daniered@in.co.benton.or.us::db59fff6-793b-41ab-b96f-b8838a219067"/>
  </w15:person>
  <w15:person w15:author="Ian Macnab">
    <w15:presenceInfo w15:providerId="AD" w15:userId="S::MACNAIA@repsrv.com::4242994c-ddf1-45a4-b6b6-2ded28131da1"/>
  </w15:person>
  <w15:person w15:author="Paul Nietfeld">
    <w15:presenceInfo w15:providerId="None" w15:userId="Paul Nietfeld"/>
  </w15:person>
  <w15:person w15:author="Rough, Ginger">
    <w15:presenceInfo w15:providerId="AD" w15:userId="S::roughgi@repsrv.com::83a97838-c40f-4802-ad4c-3763737b0c0c"/>
  </w15:person>
  <w15:person w15:author="Yeager, Mark">
    <w15:presenceInfo w15:providerId="AD" w15:userId="S::mark.yeager@cityofalbany.net::8712326a-0981-429c-ba0b-bdd1526f1a5e"/>
  </w15:person>
  <w15:person w15:author="Charles Gilbert">
    <w15:presenceInfo w15:providerId="Windows Live" w15:userId="a7013d7b2e6fa3d2"/>
  </w15:person>
  <w15:person w15:author="Bill Bromann">
    <w15:presenceInfo w15:providerId="AD" w15:userId="S::bromawi@repsrv.com::580cc447-ae4f-42c2-9b05-4711f22f536d"/>
  </w15:person>
  <w15:person w15:author="Yeager, Mark [2]">
    <w15:presenceInfo w15:providerId="None" w15:userId="Yeager, Mar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46F"/>
    <w:rsid w:val="0007732C"/>
    <w:rsid w:val="00297F08"/>
    <w:rsid w:val="00311020"/>
    <w:rsid w:val="00335983"/>
    <w:rsid w:val="00356A0C"/>
    <w:rsid w:val="00415FF3"/>
    <w:rsid w:val="004523B9"/>
    <w:rsid w:val="004C12F4"/>
    <w:rsid w:val="005D082E"/>
    <w:rsid w:val="00676271"/>
    <w:rsid w:val="006F646F"/>
    <w:rsid w:val="00734E50"/>
    <w:rsid w:val="007B2995"/>
    <w:rsid w:val="007C620F"/>
    <w:rsid w:val="007E6DA1"/>
    <w:rsid w:val="00974FEA"/>
    <w:rsid w:val="00981BFA"/>
    <w:rsid w:val="00987C9B"/>
    <w:rsid w:val="0099257F"/>
    <w:rsid w:val="009D18F5"/>
    <w:rsid w:val="00AD7273"/>
    <w:rsid w:val="00D04385"/>
    <w:rsid w:val="00DA15AE"/>
    <w:rsid w:val="00E42C3F"/>
    <w:rsid w:val="00F53C98"/>
    <w:rsid w:val="00F60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3A501E"/>
  <w15:chartTrackingRefBased/>
  <w15:docId w15:val="{4DBDF2C1-3A40-4085-BBD3-8497FD8DD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646F"/>
  </w:style>
  <w:style w:type="paragraph" w:styleId="Heading1">
    <w:name w:val="heading 1"/>
    <w:basedOn w:val="Normal"/>
    <w:next w:val="Normal"/>
    <w:link w:val="Heading1Char"/>
    <w:uiPriority w:val="9"/>
    <w:qFormat/>
    <w:rsid w:val="006F64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F646F"/>
    <w:pPr>
      <w:keepNext/>
      <w:keepLines/>
      <w:spacing w:after="240" w:line="240" w:lineRule="auto"/>
      <w:outlineLvl w:val="1"/>
    </w:pPr>
    <w:rPr>
      <w:rFonts w:ascii="Palatino Linotype" w:eastAsia="Times New Roman" w:hAnsi="Palatino Linotype" w:cs="Arial"/>
      <w:color w:val="2E74B5"/>
      <w:sz w:val="28"/>
      <w:szCs w:val="28"/>
    </w:rPr>
  </w:style>
  <w:style w:type="paragraph" w:styleId="Heading3">
    <w:name w:val="heading 3"/>
    <w:basedOn w:val="Normal"/>
    <w:next w:val="Normal"/>
    <w:link w:val="Heading3Char"/>
    <w:uiPriority w:val="9"/>
    <w:unhideWhenUsed/>
    <w:qFormat/>
    <w:rsid w:val="006F646F"/>
    <w:pPr>
      <w:keepNext/>
      <w:keepLines/>
      <w:numPr>
        <w:numId w:val="16"/>
      </w:numPr>
      <w:spacing w:before="240" w:after="240"/>
      <w:outlineLvl w:val="2"/>
    </w:pPr>
    <w:rPr>
      <w:rFonts w:ascii="Palatino Linotype" w:eastAsia="Times New Roman" w:hAnsi="Palatino Linotype" w:cs="Arial"/>
      <w:color w:val="2E74B5"/>
      <w:sz w:val="24"/>
      <w:szCs w:val="24"/>
    </w:rPr>
  </w:style>
  <w:style w:type="paragraph" w:styleId="Heading4">
    <w:name w:val="heading 4"/>
    <w:basedOn w:val="Normal"/>
    <w:next w:val="Normal"/>
    <w:link w:val="Heading4Char"/>
    <w:uiPriority w:val="9"/>
    <w:unhideWhenUsed/>
    <w:qFormat/>
    <w:rsid w:val="006F646F"/>
    <w:pPr>
      <w:keepNext/>
      <w:keepLines/>
      <w:spacing w:before="40" w:after="0"/>
      <w:outlineLvl w:val="3"/>
    </w:pPr>
    <w:rPr>
      <w:rFonts w:ascii="Calibri Light" w:eastAsia="MS Gothic" w:hAnsi="Calibri Light" w:cs="Times New Roman"/>
      <w:caps/>
    </w:rPr>
  </w:style>
  <w:style w:type="paragraph" w:styleId="Heading5">
    <w:name w:val="heading 5"/>
    <w:basedOn w:val="Normal"/>
    <w:next w:val="Normal"/>
    <w:link w:val="Heading5Char"/>
    <w:uiPriority w:val="9"/>
    <w:unhideWhenUsed/>
    <w:qFormat/>
    <w:rsid w:val="006F646F"/>
    <w:pPr>
      <w:keepNext/>
      <w:keepLines/>
      <w:spacing w:before="40" w:after="0"/>
      <w:outlineLvl w:val="4"/>
    </w:pPr>
    <w:rPr>
      <w:rFonts w:ascii="Calibri Light" w:eastAsia="MS Gothic" w:hAnsi="Calibri Light" w:cs="Times New Roman"/>
      <w:i/>
      <w:iCs/>
      <w:caps/>
    </w:rPr>
  </w:style>
  <w:style w:type="paragraph" w:styleId="Heading6">
    <w:name w:val="heading 6"/>
    <w:basedOn w:val="Normal"/>
    <w:next w:val="Normal"/>
    <w:link w:val="Heading6Char"/>
    <w:uiPriority w:val="9"/>
    <w:unhideWhenUsed/>
    <w:qFormat/>
    <w:rsid w:val="006F646F"/>
    <w:pPr>
      <w:keepNext/>
      <w:keepLines/>
      <w:spacing w:before="40" w:after="0"/>
      <w:outlineLvl w:val="5"/>
    </w:pPr>
    <w:rPr>
      <w:rFonts w:ascii="Calibri Light" w:eastAsia="MS Gothic" w:hAnsi="Calibri Light" w:cs="Times New Roman"/>
      <w:b/>
      <w:bCs/>
      <w:caps/>
      <w:color w:val="262626"/>
      <w:sz w:val="20"/>
    </w:rPr>
  </w:style>
  <w:style w:type="paragraph" w:styleId="Heading7">
    <w:name w:val="heading 7"/>
    <w:basedOn w:val="Normal"/>
    <w:next w:val="Normal"/>
    <w:link w:val="Heading7Char"/>
    <w:uiPriority w:val="9"/>
    <w:semiHidden/>
    <w:unhideWhenUsed/>
    <w:qFormat/>
    <w:rsid w:val="006F646F"/>
    <w:pPr>
      <w:keepNext/>
      <w:keepLines/>
      <w:spacing w:before="40" w:after="0"/>
      <w:outlineLvl w:val="6"/>
    </w:pPr>
    <w:rPr>
      <w:rFonts w:ascii="Calibri Light" w:eastAsia="MS Gothic" w:hAnsi="Calibri Light" w:cs="Times New Roman"/>
      <w:b/>
      <w:bCs/>
      <w:i/>
      <w:iCs/>
      <w:caps/>
      <w:color w:val="262626"/>
      <w:sz w:val="20"/>
    </w:rPr>
  </w:style>
  <w:style w:type="paragraph" w:styleId="Heading8">
    <w:name w:val="heading 8"/>
    <w:basedOn w:val="Normal"/>
    <w:next w:val="Normal"/>
    <w:link w:val="Heading8Char"/>
    <w:uiPriority w:val="9"/>
    <w:semiHidden/>
    <w:unhideWhenUsed/>
    <w:qFormat/>
    <w:rsid w:val="006F646F"/>
    <w:pPr>
      <w:keepNext/>
      <w:keepLines/>
      <w:spacing w:before="40" w:after="0"/>
      <w:outlineLvl w:val="7"/>
    </w:pPr>
    <w:rPr>
      <w:rFonts w:ascii="Calibri Light" w:eastAsia="MS Gothic" w:hAnsi="Calibri Light" w:cs="Times New Roman"/>
      <w:b/>
      <w:bCs/>
      <w:caps/>
      <w:color w:val="7F7F7F"/>
      <w:sz w:val="20"/>
    </w:rPr>
  </w:style>
  <w:style w:type="paragraph" w:styleId="Heading9">
    <w:name w:val="heading 9"/>
    <w:basedOn w:val="Normal"/>
    <w:next w:val="Normal"/>
    <w:link w:val="Heading9Char"/>
    <w:uiPriority w:val="9"/>
    <w:semiHidden/>
    <w:unhideWhenUsed/>
    <w:qFormat/>
    <w:rsid w:val="006F646F"/>
    <w:pPr>
      <w:keepNext/>
      <w:keepLines/>
      <w:spacing w:before="40" w:after="0"/>
      <w:outlineLvl w:val="8"/>
    </w:pPr>
    <w:rPr>
      <w:rFonts w:ascii="Calibri Light" w:eastAsia="MS Gothic" w:hAnsi="Calibri Light" w:cs="Times New Roman"/>
      <w:b/>
      <w:bCs/>
      <w:i/>
      <w:iCs/>
      <w:caps/>
      <w:color w:val="7F7F7F"/>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646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F646F"/>
    <w:rPr>
      <w:rFonts w:ascii="Palatino Linotype" w:eastAsia="Times New Roman" w:hAnsi="Palatino Linotype" w:cs="Arial"/>
      <w:color w:val="2E74B5"/>
      <w:sz w:val="28"/>
      <w:szCs w:val="28"/>
    </w:rPr>
  </w:style>
  <w:style w:type="character" w:customStyle="1" w:styleId="Heading3Char">
    <w:name w:val="Heading 3 Char"/>
    <w:basedOn w:val="DefaultParagraphFont"/>
    <w:link w:val="Heading3"/>
    <w:uiPriority w:val="9"/>
    <w:rsid w:val="006F646F"/>
    <w:rPr>
      <w:rFonts w:ascii="Palatino Linotype" w:eastAsia="Times New Roman" w:hAnsi="Palatino Linotype" w:cs="Arial"/>
      <w:color w:val="2E74B5"/>
      <w:sz w:val="24"/>
      <w:szCs w:val="24"/>
    </w:rPr>
  </w:style>
  <w:style w:type="character" w:customStyle="1" w:styleId="Heading4Char">
    <w:name w:val="Heading 4 Char"/>
    <w:basedOn w:val="DefaultParagraphFont"/>
    <w:link w:val="Heading4"/>
    <w:uiPriority w:val="9"/>
    <w:rsid w:val="006F646F"/>
    <w:rPr>
      <w:rFonts w:ascii="Calibri Light" w:eastAsia="MS Gothic" w:hAnsi="Calibri Light" w:cs="Times New Roman"/>
      <w:caps/>
    </w:rPr>
  </w:style>
  <w:style w:type="character" w:customStyle="1" w:styleId="Heading5Char">
    <w:name w:val="Heading 5 Char"/>
    <w:basedOn w:val="DefaultParagraphFont"/>
    <w:link w:val="Heading5"/>
    <w:uiPriority w:val="9"/>
    <w:rsid w:val="006F646F"/>
    <w:rPr>
      <w:rFonts w:ascii="Calibri Light" w:eastAsia="MS Gothic" w:hAnsi="Calibri Light" w:cs="Times New Roman"/>
      <w:i/>
      <w:iCs/>
      <w:caps/>
    </w:rPr>
  </w:style>
  <w:style w:type="character" w:customStyle="1" w:styleId="Heading6Char">
    <w:name w:val="Heading 6 Char"/>
    <w:basedOn w:val="DefaultParagraphFont"/>
    <w:link w:val="Heading6"/>
    <w:uiPriority w:val="9"/>
    <w:rsid w:val="006F646F"/>
    <w:rPr>
      <w:rFonts w:ascii="Calibri Light" w:eastAsia="MS Gothic" w:hAnsi="Calibri Light" w:cs="Times New Roman"/>
      <w:b/>
      <w:bCs/>
      <w:caps/>
      <w:color w:val="262626"/>
      <w:sz w:val="20"/>
    </w:rPr>
  </w:style>
  <w:style w:type="character" w:customStyle="1" w:styleId="Heading7Char">
    <w:name w:val="Heading 7 Char"/>
    <w:basedOn w:val="DefaultParagraphFont"/>
    <w:link w:val="Heading7"/>
    <w:uiPriority w:val="9"/>
    <w:semiHidden/>
    <w:rsid w:val="006F646F"/>
    <w:rPr>
      <w:rFonts w:ascii="Calibri Light" w:eastAsia="MS Gothic" w:hAnsi="Calibri Light" w:cs="Times New Roman"/>
      <w:b/>
      <w:bCs/>
      <w:i/>
      <w:iCs/>
      <w:caps/>
      <w:color w:val="262626"/>
      <w:sz w:val="20"/>
    </w:rPr>
  </w:style>
  <w:style w:type="character" w:customStyle="1" w:styleId="Heading8Char">
    <w:name w:val="Heading 8 Char"/>
    <w:basedOn w:val="DefaultParagraphFont"/>
    <w:link w:val="Heading8"/>
    <w:uiPriority w:val="9"/>
    <w:semiHidden/>
    <w:rsid w:val="006F646F"/>
    <w:rPr>
      <w:rFonts w:ascii="Calibri Light" w:eastAsia="MS Gothic" w:hAnsi="Calibri Light" w:cs="Times New Roman"/>
      <w:b/>
      <w:bCs/>
      <w:caps/>
      <w:color w:val="7F7F7F"/>
      <w:sz w:val="20"/>
    </w:rPr>
  </w:style>
  <w:style w:type="character" w:customStyle="1" w:styleId="Heading9Char">
    <w:name w:val="Heading 9 Char"/>
    <w:basedOn w:val="DefaultParagraphFont"/>
    <w:link w:val="Heading9"/>
    <w:uiPriority w:val="9"/>
    <w:semiHidden/>
    <w:rsid w:val="006F646F"/>
    <w:rPr>
      <w:rFonts w:ascii="Calibri Light" w:eastAsia="MS Gothic" w:hAnsi="Calibri Light" w:cs="Times New Roman"/>
      <w:b/>
      <w:bCs/>
      <w:i/>
      <w:iCs/>
      <w:caps/>
      <w:color w:val="7F7F7F"/>
      <w:sz w:val="20"/>
    </w:rPr>
  </w:style>
  <w:style w:type="paragraph" w:styleId="NormalWeb">
    <w:name w:val="Normal (Web)"/>
    <w:basedOn w:val="Normal"/>
    <w:uiPriority w:val="99"/>
    <w:unhideWhenUsed/>
    <w:rsid w:val="006F646F"/>
    <w:rPr>
      <w:rFonts w:ascii="Times New Roman" w:hAnsi="Times New Roman" w:cs="Times New Roman"/>
      <w:sz w:val="24"/>
      <w:szCs w:val="24"/>
    </w:rPr>
  </w:style>
  <w:style w:type="paragraph" w:styleId="Caption">
    <w:name w:val="caption"/>
    <w:basedOn w:val="Normal"/>
    <w:next w:val="Normal"/>
    <w:unhideWhenUsed/>
    <w:qFormat/>
    <w:rsid w:val="006F646F"/>
    <w:pPr>
      <w:spacing w:after="200" w:line="240" w:lineRule="auto"/>
    </w:pPr>
    <w:rPr>
      <w:i/>
      <w:iCs/>
      <w:color w:val="44546A" w:themeColor="text2"/>
      <w:sz w:val="18"/>
      <w:szCs w:val="18"/>
    </w:rPr>
  </w:style>
  <w:style w:type="character" w:customStyle="1" w:styleId="Hyperlink1">
    <w:name w:val="Hyperlink1"/>
    <w:basedOn w:val="DefaultParagraphFont"/>
    <w:uiPriority w:val="99"/>
    <w:unhideWhenUsed/>
    <w:rsid w:val="006F646F"/>
    <w:rPr>
      <w:color w:val="0563C1"/>
      <w:u w:val="single"/>
    </w:rPr>
  </w:style>
  <w:style w:type="paragraph" w:styleId="FootnoteText">
    <w:name w:val="footnote text"/>
    <w:basedOn w:val="Normal"/>
    <w:link w:val="FootnoteTextChar"/>
    <w:uiPriority w:val="99"/>
    <w:unhideWhenUsed/>
    <w:rsid w:val="006F646F"/>
    <w:pPr>
      <w:spacing w:after="0" w:line="240" w:lineRule="auto"/>
    </w:pPr>
    <w:rPr>
      <w:rFonts w:ascii="Palatino Linotype" w:hAnsi="Palatino Linotype"/>
      <w:sz w:val="20"/>
      <w:szCs w:val="20"/>
    </w:rPr>
  </w:style>
  <w:style w:type="character" w:customStyle="1" w:styleId="FootnoteTextChar">
    <w:name w:val="Footnote Text Char"/>
    <w:basedOn w:val="DefaultParagraphFont"/>
    <w:link w:val="FootnoteText"/>
    <w:uiPriority w:val="99"/>
    <w:rsid w:val="006F646F"/>
    <w:rPr>
      <w:rFonts w:ascii="Palatino Linotype" w:hAnsi="Palatino Linotype"/>
      <w:sz w:val="20"/>
      <w:szCs w:val="20"/>
    </w:rPr>
  </w:style>
  <w:style w:type="character" w:styleId="FootnoteReference">
    <w:name w:val="footnote reference"/>
    <w:basedOn w:val="DefaultParagraphFont"/>
    <w:uiPriority w:val="99"/>
    <w:semiHidden/>
    <w:unhideWhenUsed/>
    <w:rsid w:val="006F646F"/>
    <w:rPr>
      <w:vertAlign w:val="superscript"/>
    </w:rPr>
  </w:style>
  <w:style w:type="paragraph" w:styleId="NoSpacing">
    <w:name w:val="No Spacing"/>
    <w:link w:val="NoSpacingChar"/>
    <w:uiPriority w:val="1"/>
    <w:qFormat/>
    <w:rsid w:val="006F646F"/>
    <w:pPr>
      <w:spacing w:after="0" w:line="240" w:lineRule="auto"/>
    </w:pPr>
    <w:rPr>
      <w:rFonts w:ascii="Palatino Linotype" w:hAnsi="Palatino Linotype"/>
      <w:szCs w:val="20"/>
    </w:rPr>
  </w:style>
  <w:style w:type="character" w:styleId="Strong">
    <w:name w:val="Strong"/>
    <w:basedOn w:val="DefaultParagraphFont"/>
    <w:uiPriority w:val="22"/>
    <w:qFormat/>
    <w:rsid w:val="006F646F"/>
    <w:rPr>
      <w:b/>
      <w:bCs/>
    </w:rPr>
  </w:style>
  <w:style w:type="character" w:customStyle="1" w:styleId="NoSpacingChar">
    <w:name w:val="No Spacing Char"/>
    <w:basedOn w:val="DefaultParagraphFont"/>
    <w:link w:val="NoSpacing"/>
    <w:uiPriority w:val="1"/>
    <w:rsid w:val="006F646F"/>
    <w:rPr>
      <w:rFonts w:ascii="Palatino Linotype" w:hAnsi="Palatino Linotype"/>
      <w:szCs w:val="20"/>
    </w:rPr>
  </w:style>
  <w:style w:type="character" w:styleId="Hyperlink">
    <w:name w:val="Hyperlink"/>
    <w:basedOn w:val="DefaultParagraphFont"/>
    <w:uiPriority w:val="99"/>
    <w:unhideWhenUsed/>
    <w:rsid w:val="006F646F"/>
    <w:rPr>
      <w:color w:val="0563C1" w:themeColor="hyperlink"/>
      <w:u w:val="single"/>
    </w:rPr>
  </w:style>
  <w:style w:type="paragraph" w:styleId="Header">
    <w:name w:val="header"/>
    <w:basedOn w:val="Normal"/>
    <w:link w:val="HeaderChar"/>
    <w:uiPriority w:val="99"/>
    <w:unhideWhenUsed/>
    <w:rsid w:val="006F646F"/>
    <w:pPr>
      <w:tabs>
        <w:tab w:val="center" w:pos="4680"/>
        <w:tab w:val="right" w:pos="9360"/>
      </w:tabs>
      <w:spacing w:after="0" w:line="240" w:lineRule="auto"/>
    </w:pPr>
    <w:rPr>
      <w:rFonts w:ascii="Palatino Linotype" w:hAnsi="Palatino Linotype"/>
      <w:szCs w:val="20"/>
    </w:rPr>
  </w:style>
  <w:style w:type="character" w:customStyle="1" w:styleId="HeaderChar">
    <w:name w:val="Header Char"/>
    <w:basedOn w:val="DefaultParagraphFont"/>
    <w:link w:val="Header"/>
    <w:uiPriority w:val="99"/>
    <w:rsid w:val="006F646F"/>
    <w:rPr>
      <w:rFonts w:ascii="Palatino Linotype" w:hAnsi="Palatino Linotype"/>
      <w:szCs w:val="20"/>
    </w:rPr>
  </w:style>
  <w:style w:type="paragraph" w:styleId="Footer">
    <w:name w:val="footer"/>
    <w:basedOn w:val="Normal"/>
    <w:link w:val="FooterChar"/>
    <w:uiPriority w:val="99"/>
    <w:unhideWhenUsed/>
    <w:rsid w:val="006F646F"/>
    <w:pPr>
      <w:tabs>
        <w:tab w:val="center" w:pos="4680"/>
        <w:tab w:val="right" w:pos="9360"/>
      </w:tabs>
      <w:spacing w:after="0" w:line="240" w:lineRule="auto"/>
    </w:pPr>
    <w:rPr>
      <w:rFonts w:ascii="Palatino Linotype" w:hAnsi="Palatino Linotype"/>
      <w:szCs w:val="20"/>
    </w:rPr>
  </w:style>
  <w:style w:type="character" w:customStyle="1" w:styleId="FooterChar">
    <w:name w:val="Footer Char"/>
    <w:basedOn w:val="DefaultParagraphFont"/>
    <w:link w:val="Footer"/>
    <w:uiPriority w:val="99"/>
    <w:rsid w:val="006F646F"/>
    <w:rPr>
      <w:rFonts w:ascii="Palatino Linotype" w:hAnsi="Palatino Linotype"/>
      <w:szCs w:val="20"/>
    </w:rPr>
  </w:style>
  <w:style w:type="paragraph" w:customStyle="1" w:styleId="BCTTHeading2">
    <w:name w:val="BCTT Heading 2"/>
    <w:basedOn w:val="NoSpacing"/>
    <w:link w:val="BCTTHeading2Char"/>
    <w:qFormat/>
    <w:rsid w:val="006F646F"/>
    <w:pPr>
      <w:numPr>
        <w:numId w:val="1"/>
      </w:numPr>
      <w:tabs>
        <w:tab w:val="num" w:pos="360"/>
      </w:tabs>
      <w:spacing w:after="240"/>
      <w:ind w:left="0" w:firstLine="0"/>
    </w:pPr>
    <w:rPr>
      <w:rFonts w:eastAsia="Calibri" w:cs="Calibri"/>
      <w:b/>
      <w:bCs/>
      <w:color w:val="23487B"/>
      <w:sz w:val="24"/>
      <w:szCs w:val="24"/>
    </w:rPr>
  </w:style>
  <w:style w:type="table" w:styleId="TableGrid">
    <w:name w:val="Table Grid"/>
    <w:basedOn w:val="TableNormal"/>
    <w:uiPriority w:val="39"/>
    <w:rsid w:val="006F646F"/>
    <w:pPr>
      <w:spacing w:after="0" w:line="240" w:lineRule="auto"/>
    </w:pPr>
    <w:rPr>
      <w:rFonts w:ascii="Palatino Linotype" w:hAnsi="Palatino Linotype"/>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1">
    <w:name w:val="Heading 41"/>
    <w:basedOn w:val="Normal"/>
    <w:next w:val="Normal"/>
    <w:uiPriority w:val="9"/>
    <w:unhideWhenUsed/>
    <w:qFormat/>
    <w:rsid w:val="006F646F"/>
    <w:pPr>
      <w:keepNext/>
      <w:keepLines/>
      <w:spacing w:before="120" w:after="0"/>
      <w:outlineLvl w:val="3"/>
    </w:pPr>
    <w:rPr>
      <w:rFonts w:ascii="Calibri Light" w:eastAsia="MS Gothic" w:hAnsi="Calibri Light" w:cs="Times New Roman"/>
      <w:caps/>
    </w:rPr>
  </w:style>
  <w:style w:type="paragraph" w:customStyle="1" w:styleId="Heading51">
    <w:name w:val="Heading 51"/>
    <w:basedOn w:val="Normal"/>
    <w:next w:val="Normal"/>
    <w:uiPriority w:val="9"/>
    <w:unhideWhenUsed/>
    <w:qFormat/>
    <w:rsid w:val="006F646F"/>
    <w:pPr>
      <w:keepNext/>
      <w:keepLines/>
      <w:spacing w:before="120" w:after="0"/>
      <w:outlineLvl w:val="4"/>
    </w:pPr>
    <w:rPr>
      <w:rFonts w:ascii="Calibri Light" w:eastAsia="MS Gothic" w:hAnsi="Calibri Light" w:cs="Times New Roman"/>
      <w:i/>
      <w:iCs/>
      <w:caps/>
    </w:rPr>
  </w:style>
  <w:style w:type="paragraph" w:customStyle="1" w:styleId="Heading61">
    <w:name w:val="Heading 61"/>
    <w:basedOn w:val="Normal"/>
    <w:next w:val="Normal"/>
    <w:uiPriority w:val="9"/>
    <w:unhideWhenUsed/>
    <w:qFormat/>
    <w:rsid w:val="006F646F"/>
    <w:pPr>
      <w:keepNext/>
      <w:keepLines/>
      <w:spacing w:before="120" w:after="0"/>
      <w:outlineLvl w:val="5"/>
    </w:pPr>
    <w:rPr>
      <w:rFonts w:ascii="Calibri Light" w:eastAsia="MS Gothic" w:hAnsi="Calibri Light" w:cs="Times New Roman"/>
      <w:b/>
      <w:bCs/>
      <w:caps/>
      <w:color w:val="262626"/>
      <w:sz w:val="20"/>
      <w:szCs w:val="20"/>
    </w:rPr>
  </w:style>
  <w:style w:type="paragraph" w:customStyle="1" w:styleId="Heading71">
    <w:name w:val="Heading 71"/>
    <w:basedOn w:val="Normal"/>
    <w:next w:val="Normal"/>
    <w:uiPriority w:val="9"/>
    <w:semiHidden/>
    <w:unhideWhenUsed/>
    <w:qFormat/>
    <w:rsid w:val="006F646F"/>
    <w:pPr>
      <w:keepNext/>
      <w:keepLines/>
      <w:spacing w:before="120" w:after="0"/>
      <w:outlineLvl w:val="6"/>
    </w:pPr>
    <w:rPr>
      <w:rFonts w:ascii="Calibri Light" w:eastAsia="MS Gothic" w:hAnsi="Calibri Light" w:cs="Times New Roman"/>
      <w:b/>
      <w:bCs/>
      <w:i/>
      <w:iCs/>
      <w:caps/>
      <w:color w:val="262626"/>
      <w:sz w:val="20"/>
      <w:szCs w:val="20"/>
    </w:rPr>
  </w:style>
  <w:style w:type="paragraph" w:customStyle="1" w:styleId="Heading81">
    <w:name w:val="Heading 81"/>
    <w:basedOn w:val="Normal"/>
    <w:next w:val="Normal"/>
    <w:uiPriority w:val="9"/>
    <w:semiHidden/>
    <w:unhideWhenUsed/>
    <w:qFormat/>
    <w:rsid w:val="006F646F"/>
    <w:pPr>
      <w:keepNext/>
      <w:keepLines/>
      <w:spacing w:before="120" w:after="0"/>
      <w:outlineLvl w:val="7"/>
    </w:pPr>
    <w:rPr>
      <w:rFonts w:ascii="Calibri Light" w:eastAsia="MS Gothic" w:hAnsi="Calibri Light" w:cs="Times New Roman"/>
      <w:b/>
      <w:bCs/>
      <w:caps/>
      <w:color w:val="7F7F7F"/>
      <w:sz w:val="20"/>
      <w:szCs w:val="20"/>
    </w:rPr>
  </w:style>
  <w:style w:type="paragraph" w:customStyle="1" w:styleId="Heading91">
    <w:name w:val="Heading 91"/>
    <w:basedOn w:val="Normal"/>
    <w:next w:val="Normal"/>
    <w:uiPriority w:val="9"/>
    <w:semiHidden/>
    <w:unhideWhenUsed/>
    <w:qFormat/>
    <w:rsid w:val="006F646F"/>
    <w:pPr>
      <w:keepNext/>
      <w:keepLines/>
      <w:spacing w:before="120" w:after="0"/>
      <w:outlineLvl w:val="8"/>
    </w:pPr>
    <w:rPr>
      <w:rFonts w:ascii="Calibri Light" w:eastAsia="MS Gothic" w:hAnsi="Calibri Light" w:cs="Times New Roman"/>
      <w:b/>
      <w:bCs/>
      <w:i/>
      <w:iCs/>
      <w:caps/>
      <w:color w:val="7F7F7F"/>
      <w:sz w:val="20"/>
      <w:szCs w:val="20"/>
    </w:rPr>
  </w:style>
  <w:style w:type="numbering" w:customStyle="1" w:styleId="NoList1">
    <w:name w:val="No List1"/>
    <w:next w:val="NoList"/>
    <w:uiPriority w:val="99"/>
    <w:semiHidden/>
    <w:unhideWhenUsed/>
    <w:rsid w:val="006F646F"/>
  </w:style>
  <w:style w:type="paragraph" w:customStyle="1" w:styleId="Default">
    <w:name w:val="Default"/>
    <w:rsid w:val="006F646F"/>
    <w:pPr>
      <w:autoSpaceDE w:val="0"/>
      <w:autoSpaceDN w:val="0"/>
      <w:adjustRightInd w:val="0"/>
      <w:spacing w:after="0" w:line="240" w:lineRule="auto"/>
    </w:pPr>
    <w:rPr>
      <w:rFonts w:ascii="Calibri" w:hAnsi="Calibri" w:cs="Calibri"/>
      <w:color w:val="000000"/>
      <w:sz w:val="24"/>
      <w:szCs w:val="24"/>
    </w:rPr>
  </w:style>
  <w:style w:type="character" w:customStyle="1" w:styleId="UnresolvedMention1">
    <w:name w:val="Unresolved Mention1"/>
    <w:basedOn w:val="DefaultParagraphFont"/>
    <w:uiPriority w:val="99"/>
    <w:semiHidden/>
    <w:unhideWhenUsed/>
    <w:rsid w:val="006F646F"/>
    <w:rPr>
      <w:color w:val="605E5C"/>
      <w:shd w:val="clear" w:color="auto" w:fill="E1DFDD"/>
    </w:rPr>
  </w:style>
  <w:style w:type="character" w:styleId="CommentReference">
    <w:name w:val="annotation reference"/>
    <w:basedOn w:val="DefaultParagraphFont"/>
    <w:uiPriority w:val="99"/>
    <w:semiHidden/>
    <w:unhideWhenUsed/>
    <w:rsid w:val="006F646F"/>
    <w:rPr>
      <w:sz w:val="16"/>
      <w:szCs w:val="16"/>
    </w:rPr>
  </w:style>
  <w:style w:type="paragraph" w:styleId="CommentText">
    <w:name w:val="annotation text"/>
    <w:basedOn w:val="Normal"/>
    <w:link w:val="CommentTextChar"/>
    <w:uiPriority w:val="99"/>
    <w:unhideWhenUsed/>
    <w:rsid w:val="006F646F"/>
    <w:pPr>
      <w:spacing w:line="240" w:lineRule="auto"/>
    </w:pPr>
    <w:rPr>
      <w:rFonts w:ascii="Palatino Linotype" w:hAnsi="Palatino Linotype"/>
      <w:sz w:val="20"/>
      <w:szCs w:val="20"/>
    </w:rPr>
  </w:style>
  <w:style w:type="character" w:customStyle="1" w:styleId="CommentTextChar">
    <w:name w:val="Comment Text Char"/>
    <w:basedOn w:val="DefaultParagraphFont"/>
    <w:link w:val="CommentText"/>
    <w:uiPriority w:val="99"/>
    <w:rsid w:val="006F646F"/>
    <w:rPr>
      <w:rFonts w:ascii="Palatino Linotype" w:hAnsi="Palatino Linotype"/>
      <w:sz w:val="20"/>
      <w:szCs w:val="20"/>
    </w:rPr>
  </w:style>
  <w:style w:type="paragraph" w:styleId="CommentSubject">
    <w:name w:val="annotation subject"/>
    <w:basedOn w:val="CommentText"/>
    <w:next w:val="CommentText"/>
    <w:link w:val="CommentSubjectChar"/>
    <w:uiPriority w:val="99"/>
    <w:semiHidden/>
    <w:unhideWhenUsed/>
    <w:rsid w:val="006F646F"/>
    <w:rPr>
      <w:b/>
      <w:bCs/>
    </w:rPr>
  </w:style>
  <w:style w:type="character" w:customStyle="1" w:styleId="CommentSubjectChar">
    <w:name w:val="Comment Subject Char"/>
    <w:basedOn w:val="CommentTextChar"/>
    <w:link w:val="CommentSubject"/>
    <w:uiPriority w:val="99"/>
    <w:semiHidden/>
    <w:rsid w:val="006F646F"/>
    <w:rPr>
      <w:rFonts w:ascii="Palatino Linotype" w:hAnsi="Palatino Linotype"/>
      <w:b/>
      <w:bCs/>
      <w:sz w:val="20"/>
      <w:szCs w:val="20"/>
    </w:rPr>
  </w:style>
  <w:style w:type="paragraph" w:styleId="ListParagraph">
    <w:name w:val="List Paragraph"/>
    <w:basedOn w:val="Normal"/>
    <w:link w:val="ListParagraphChar"/>
    <w:uiPriority w:val="34"/>
    <w:qFormat/>
    <w:rsid w:val="006F646F"/>
    <w:pPr>
      <w:ind w:left="720"/>
      <w:contextualSpacing/>
    </w:pPr>
    <w:rPr>
      <w:rFonts w:ascii="Palatino Linotype" w:hAnsi="Palatino Linotype"/>
      <w:szCs w:val="20"/>
    </w:rPr>
  </w:style>
  <w:style w:type="character" w:customStyle="1" w:styleId="FollowedHyperlink1">
    <w:name w:val="FollowedHyperlink1"/>
    <w:basedOn w:val="DefaultParagraphFont"/>
    <w:uiPriority w:val="99"/>
    <w:semiHidden/>
    <w:unhideWhenUsed/>
    <w:rsid w:val="006F646F"/>
    <w:rPr>
      <w:color w:val="954F72"/>
      <w:u w:val="single"/>
    </w:rPr>
  </w:style>
  <w:style w:type="paragraph" w:styleId="Bibliography">
    <w:name w:val="Bibliography"/>
    <w:basedOn w:val="Normal"/>
    <w:next w:val="Normal"/>
    <w:uiPriority w:val="37"/>
    <w:unhideWhenUsed/>
    <w:rsid w:val="006F646F"/>
    <w:pPr>
      <w:spacing w:after="0" w:line="480" w:lineRule="auto"/>
      <w:ind w:left="720" w:hanging="720"/>
    </w:pPr>
    <w:rPr>
      <w:rFonts w:ascii="Palatino Linotype" w:hAnsi="Palatino Linotype"/>
      <w:szCs w:val="20"/>
    </w:rPr>
  </w:style>
  <w:style w:type="paragraph" w:customStyle="1" w:styleId="TOCHeading1">
    <w:name w:val="TOC Heading1"/>
    <w:basedOn w:val="Heading1"/>
    <w:next w:val="Normal"/>
    <w:uiPriority w:val="39"/>
    <w:unhideWhenUsed/>
    <w:qFormat/>
    <w:rsid w:val="006F646F"/>
    <w:pPr>
      <w:outlineLvl w:val="9"/>
    </w:pPr>
  </w:style>
  <w:style w:type="paragraph" w:styleId="TOC1">
    <w:name w:val="toc 1"/>
    <w:basedOn w:val="BCTTHeading1"/>
    <w:next w:val="Normal"/>
    <w:autoRedefine/>
    <w:uiPriority w:val="39"/>
    <w:unhideWhenUsed/>
    <w:rsid w:val="006F646F"/>
    <w:pPr>
      <w:tabs>
        <w:tab w:val="left" w:pos="720"/>
        <w:tab w:val="right" w:leader="dot" w:pos="9350"/>
      </w:tabs>
      <w:spacing w:after="100"/>
      <w:ind w:left="360" w:hanging="270"/>
    </w:pPr>
    <w:rPr>
      <w:b w:val="0"/>
      <w:bCs w:val="0"/>
      <w:color w:val="0070C0"/>
      <w:sz w:val="24"/>
      <w:szCs w:val="24"/>
    </w:rPr>
  </w:style>
  <w:style w:type="paragraph" w:styleId="TOC2">
    <w:name w:val="toc 2"/>
    <w:basedOn w:val="Normal"/>
    <w:next w:val="Normal"/>
    <w:autoRedefine/>
    <w:uiPriority w:val="39"/>
    <w:unhideWhenUsed/>
    <w:rsid w:val="006F646F"/>
    <w:pPr>
      <w:tabs>
        <w:tab w:val="left" w:pos="1200"/>
        <w:tab w:val="left" w:pos="1620"/>
        <w:tab w:val="right" w:leader="dot" w:pos="9350"/>
      </w:tabs>
      <w:spacing w:after="100"/>
      <w:ind w:left="360"/>
    </w:pPr>
    <w:rPr>
      <w:rFonts w:ascii="Franklin Gothic Book" w:hAnsi="Franklin Gothic Book"/>
      <w:b/>
      <w:bCs/>
      <w:color w:val="0070C0"/>
      <w:sz w:val="24"/>
      <w:szCs w:val="24"/>
    </w:rPr>
  </w:style>
  <w:style w:type="paragraph" w:styleId="TOC3">
    <w:name w:val="toc 3"/>
    <w:basedOn w:val="Normal"/>
    <w:next w:val="Normal"/>
    <w:autoRedefine/>
    <w:uiPriority w:val="39"/>
    <w:unhideWhenUsed/>
    <w:rsid w:val="006F646F"/>
    <w:pPr>
      <w:tabs>
        <w:tab w:val="left" w:pos="960"/>
        <w:tab w:val="right" w:leader="dot" w:pos="9350"/>
      </w:tabs>
      <w:spacing w:after="100"/>
      <w:ind w:left="720"/>
    </w:pPr>
    <w:rPr>
      <w:rFonts w:ascii="Palatino Linotype" w:hAnsi="Palatino Linotype"/>
      <w:szCs w:val="20"/>
    </w:rPr>
  </w:style>
  <w:style w:type="paragraph" w:styleId="Revision">
    <w:name w:val="Revision"/>
    <w:hidden/>
    <w:uiPriority w:val="99"/>
    <w:semiHidden/>
    <w:rsid w:val="006F646F"/>
    <w:pPr>
      <w:spacing w:after="0" w:line="240" w:lineRule="auto"/>
    </w:pPr>
    <w:rPr>
      <w:rFonts w:ascii="Palatino Linotype" w:hAnsi="Palatino Linotype"/>
      <w:szCs w:val="20"/>
    </w:rPr>
  </w:style>
  <w:style w:type="paragraph" w:styleId="BalloonText">
    <w:name w:val="Balloon Text"/>
    <w:basedOn w:val="Normal"/>
    <w:link w:val="BalloonTextChar"/>
    <w:uiPriority w:val="99"/>
    <w:semiHidden/>
    <w:unhideWhenUsed/>
    <w:rsid w:val="006F64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646F"/>
    <w:rPr>
      <w:rFonts w:ascii="Segoe UI" w:hAnsi="Segoe UI" w:cs="Segoe UI"/>
      <w:sz w:val="18"/>
      <w:szCs w:val="18"/>
    </w:rPr>
  </w:style>
  <w:style w:type="paragraph" w:customStyle="1" w:styleId="pf0">
    <w:name w:val="pf0"/>
    <w:basedOn w:val="Normal"/>
    <w:rsid w:val="006F64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6F646F"/>
    <w:rPr>
      <w:rFonts w:ascii="Segoe UI" w:hAnsi="Segoe UI" w:cs="Segoe UI" w:hint="default"/>
      <w:sz w:val="18"/>
      <w:szCs w:val="18"/>
    </w:rPr>
  </w:style>
  <w:style w:type="character" w:styleId="UnresolvedMention">
    <w:name w:val="Unresolved Mention"/>
    <w:basedOn w:val="DefaultParagraphFont"/>
    <w:uiPriority w:val="99"/>
    <w:semiHidden/>
    <w:unhideWhenUsed/>
    <w:rsid w:val="006F646F"/>
    <w:rPr>
      <w:color w:val="605E5C"/>
      <w:shd w:val="clear" w:color="auto" w:fill="E1DFDD"/>
    </w:rPr>
  </w:style>
  <w:style w:type="paragraph" w:customStyle="1" w:styleId="Body">
    <w:name w:val="Body"/>
    <w:rsid w:val="006F646F"/>
    <w:pPr>
      <w:pBdr>
        <w:top w:val="nil"/>
        <w:left w:val="nil"/>
        <w:bottom w:val="nil"/>
        <w:right w:val="nil"/>
        <w:between w:val="nil"/>
        <w:bar w:val="nil"/>
      </w:pBdr>
      <w:spacing w:line="256" w:lineRule="auto"/>
    </w:pPr>
    <w:rPr>
      <w:rFonts w:ascii="Calibri" w:eastAsia="Calibri" w:hAnsi="Calibri" w:cs="Calibri"/>
      <w:color w:val="000000"/>
      <w:szCs w:val="20"/>
      <w:u w:color="000000"/>
      <w:bdr w:val="nil"/>
    </w:rPr>
  </w:style>
  <w:style w:type="paragraph" w:customStyle="1" w:styleId="chat-list-item">
    <w:name w:val="chat-list-item"/>
    <w:basedOn w:val="Normal"/>
    <w:rsid w:val="006F646F"/>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6F646F"/>
    <w:pPr>
      <w:autoSpaceDE w:val="0"/>
      <w:autoSpaceDN w:val="0"/>
      <w:adjustRightInd w:val="0"/>
      <w:spacing w:after="0" w:line="286" w:lineRule="exact"/>
      <w:ind w:left="39"/>
    </w:pPr>
    <w:rPr>
      <w:rFonts w:ascii="Calibri" w:hAnsi="Calibri" w:cs="Calibri"/>
      <w:b/>
      <w:bCs/>
      <w:sz w:val="28"/>
      <w:szCs w:val="28"/>
    </w:rPr>
  </w:style>
  <w:style w:type="character" w:customStyle="1" w:styleId="BodyTextChar">
    <w:name w:val="Body Text Char"/>
    <w:basedOn w:val="DefaultParagraphFont"/>
    <w:link w:val="BodyText"/>
    <w:uiPriority w:val="1"/>
    <w:rsid w:val="006F646F"/>
    <w:rPr>
      <w:rFonts w:ascii="Calibri" w:hAnsi="Calibri" w:cs="Calibri"/>
      <w:b/>
      <w:bCs/>
      <w:sz w:val="28"/>
      <w:szCs w:val="28"/>
    </w:rPr>
  </w:style>
  <w:style w:type="numbering" w:customStyle="1" w:styleId="ImportedStyle1">
    <w:name w:val="Imported Style 1"/>
    <w:rsid w:val="006F646F"/>
    <w:pPr>
      <w:numPr>
        <w:numId w:val="3"/>
      </w:numPr>
    </w:pPr>
  </w:style>
  <w:style w:type="character" w:customStyle="1" w:styleId="None">
    <w:name w:val="None"/>
    <w:rsid w:val="006F646F"/>
  </w:style>
  <w:style w:type="paragraph" w:customStyle="1" w:styleId="msonormal0">
    <w:name w:val="msonormal"/>
    <w:basedOn w:val="Normal"/>
    <w:rsid w:val="006F646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6F646F"/>
    <w:pPr>
      <w:spacing w:before="100" w:beforeAutospacing="1" w:after="100" w:afterAutospacing="1" w:line="240" w:lineRule="auto"/>
    </w:pPr>
    <w:rPr>
      <w:rFonts w:ascii="Tahoma" w:eastAsia="Times New Roman" w:hAnsi="Tahoma" w:cs="Tahoma"/>
      <w:color w:val="000000"/>
      <w:sz w:val="18"/>
      <w:szCs w:val="18"/>
    </w:rPr>
  </w:style>
  <w:style w:type="paragraph" w:customStyle="1" w:styleId="font6">
    <w:name w:val="font6"/>
    <w:basedOn w:val="Normal"/>
    <w:rsid w:val="006F646F"/>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67">
    <w:name w:val="xl67"/>
    <w:basedOn w:val="Normal"/>
    <w:rsid w:val="006F646F"/>
    <w:pPr>
      <w:spacing w:before="100" w:beforeAutospacing="1" w:after="100" w:afterAutospacing="1" w:line="240" w:lineRule="auto"/>
    </w:pPr>
    <w:rPr>
      <w:rFonts w:ascii="Times New Roman" w:eastAsia="Times New Roman" w:hAnsi="Times New Roman" w:cs="Times New Roman"/>
      <w:b/>
      <w:bCs/>
      <w:color w:val="366092"/>
      <w:sz w:val="40"/>
      <w:szCs w:val="40"/>
    </w:rPr>
  </w:style>
  <w:style w:type="paragraph" w:customStyle="1" w:styleId="xl68">
    <w:name w:val="xl68"/>
    <w:basedOn w:val="Normal"/>
    <w:rsid w:val="006F646F"/>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9">
    <w:name w:val="xl69"/>
    <w:basedOn w:val="Normal"/>
    <w:rsid w:val="006F646F"/>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0">
    <w:name w:val="xl70"/>
    <w:basedOn w:val="Normal"/>
    <w:rsid w:val="006F646F"/>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1">
    <w:name w:val="xl71"/>
    <w:basedOn w:val="Normal"/>
    <w:rsid w:val="006F646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2">
    <w:name w:val="xl72"/>
    <w:basedOn w:val="Normal"/>
    <w:rsid w:val="006F646F"/>
    <w:pPr>
      <w:pBdr>
        <w:top w:val="single" w:sz="4" w:space="0" w:color="A6A6A6"/>
      </w:pBdr>
      <w:shd w:val="clear" w:color="4F81BD"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73">
    <w:name w:val="xl73"/>
    <w:basedOn w:val="Normal"/>
    <w:rsid w:val="006F646F"/>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xl74">
    <w:name w:val="xl74"/>
    <w:basedOn w:val="Normal"/>
    <w:rsid w:val="006F646F"/>
    <w:pPr>
      <w:pBdr>
        <w:top w:val="single" w:sz="8" w:space="0" w:color="D9D9D9"/>
        <w:left w:val="single" w:sz="4" w:space="0" w:color="D9D9D9"/>
        <w:bottom w:val="single" w:sz="8" w:space="0" w:color="D9D9D9"/>
        <w:right w:val="single" w:sz="4" w:space="0" w:color="D9D9D9"/>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Normal"/>
    <w:rsid w:val="006F646F"/>
    <w:pPr>
      <w:pBdr>
        <w:top w:val="single" w:sz="8" w:space="0" w:color="D9D9D9"/>
        <w:bottom w:val="single" w:sz="8" w:space="0" w:color="D9D9D9"/>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6">
    <w:name w:val="xl76"/>
    <w:basedOn w:val="Normal"/>
    <w:rsid w:val="006F646F"/>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7">
    <w:name w:val="xl77"/>
    <w:basedOn w:val="Normal"/>
    <w:rsid w:val="006F646F"/>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8">
    <w:name w:val="xl78"/>
    <w:basedOn w:val="Normal"/>
    <w:rsid w:val="006F646F"/>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rsid w:val="006F646F"/>
    <w:pPr>
      <w:pBdr>
        <w:bottom w:val="single" w:sz="4" w:space="0" w:color="BFBFBF"/>
      </w:pBdr>
      <w:spacing w:before="100" w:beforeAutospacing="1" w:after="100" w:afterAutospacing="1" w:line="240" w:lineRule="auto"/>
    </w:pPr>
    <w:rPr>
      <w:rFonts w:ascii="Times New Roman" w:eastAsia="Times New Roman" w:hAnsi="Times New Roman" w:cs="Times New Roman"/>
      <w:color w:val="D9D9D9"/>
      <w:sz w:val="24"/>
      <w:szCs w:val="24"/>
    </w:rPr>
  </w:style>
  <w:style w:type="paragraph" w:customStyle="1" w:styleId="xl80">
    <w:name w:val="xl80"/>
    <w:basedOn w:val="Normal"/>
    <w:rsid w:val="006F646F"/>
    <w:pPr>
      <w:pBdr>
        <w:top w:val="single" w:sz="4" w:space="0" w:color="BFBFBF"/>
        <w:left w:val="single" w:sz="4" w:space="0" w:color="D9D9D9"/>
        <w:right w:val="single" w:sz="4" w:space="0" w:color="D9D9D9"/>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1">
    <w:name w:val="xl81"/>
    <w:basedOn w:val="Normal"/>
    <w:rsid w:val="006F646F"/>
    <w:pPr>
      <w:pBdr>
        <w:left w:val="single" w:sz="4" w:space="0" w:color="D9D9D9"/>
        <w:bottom w:val="single" w:sz="8" w:space="0" w:color="D9D9D9"/>
        <w:right w:val="single" w:sz="4" w:space="0" w:color="D9D9D9"/>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82">
    <w:name w:val="xl82"/>
    <w:basedOn w:val="Normal"/>
    <w:rsid w:val="006F646F"/>
    <w:pPr>
      <w:spacing w:before="100" w:beforeAutospacing="1" w:after="100" w:afterAutospacing="1" w:line="240" w:lineRule="auto"/>
      <w:textAlignment w:val="center"/>
    </w:pPr>
    <w:rPr>
      <w:rFonts w:ascii="Times New Roman" w:eastAsia="Times New Roman" w:hAnsi="Times New Roman" w:cs="Times New Roman"/>
      <w:color w:val="BFBFBF"/>
      <w:sz w:val="20"/>
      <w:szCs w:val="20"/>
    </w:rPr>
  </w:style>
  <w:style w:type="paragraph" w:customStyle="1" w:styleId="xl83">
    <w:name w:val="xl83"/>
    <w:basedOn w:val="Normal"/>
    <w:rsid w:val="006F646F"/>
    <w:pPr>
      <w:pBdr>
        <w:top w:val="single" w:sz="8" w:space="0" w:color="D9D9D9"/>
        <w:bottom w:val="single" w:sz="8" w:space="0" w:color="D9D9D9"/>
      </w:pBdr>
      <w:shd w:val="clear" w:color="000000" w:fill="FCD5B4"/>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rPr>
  </w:style>
  <w:style w:type="paragraph" w:customStyle="1" w:styleId="xl84">
    <w:name w:val="xl84"/>
    <w:basedOn w:val="Normal"/>
    <w:rsid w:val="006F646F"/>
    <w:pPr>
      <w:pBdr>
        <w:top w:val="single" w:sz="8" w:space="0" w:color="D9D9D9"/>
        <w:bottom w:val="single" w:sz="8" w:space="0" w:color="D9D9D9"/>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5">
    <w:name w:val="xl85"/>
    <w:basedOn w:val="Normal"/>
    <w:rsid w:val="006F646F"/>
    <w:pPr>
      <w:pBdr>
        <w:top w:val="single" w:sz="8" w:space="0" w:color="D9D9D9"/>
        <w:bottom w:val="single" w:sz="8" w:space="0" w:color="D9D9D9"/>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6">
    <w:name w:val="xl86"/>
    <w:basedOn w:val="Normal"/>
    <w:rsid w:val="006F646F"/>
    <w:pPr>
      <w:pBdr>
        <w:top w:val="single" w:sz="8" w:space="0" w:color="D9D9D9"/>
        <w:bottom w:val="single" w:sz="8" w:space="0" w:color="D9D9D9"/>
      </w:pBdr>
      <w:shd w:val="clear" w:color="000000" w:fill="C4D79B"/>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rPr>
  </w:style>
  <w:style w:type="paragraph" w:customStyle="1" w:styleId="xl87">
    <w:name w:val="xl87"/>
    <w:basedOn w:val="Normal"/>
    <w:rsid w:val="006F646F"/>
    <w:pPr>
      <w:pBdr>
        <w:top w:val="single" w:sz="8" w:space="0" w:color="D9D9D9"/>
        <w:bottom w:val="single" w:sz="8" w:space="0" w:color="D9D9D9"/>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8">
    <w:name w:val="xl88"/>
    <w:basedOn w:val="Normal"/>
    <w:rsid w:val="006F646F"/>
    <w:pPr>
      <w:pBdr>
        <w:top w:val="single" w:sz="8" w:space="0" w:color="D9D9D9"/>
        <w:bottom w:val="single" w:sz="8" w:space="0" w:color="D9D9D9"/>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rsid w:val="006F646F"/>
    <w:pPr>
      <w:pBdr>
        <w:top w:val="single" w:sz="8" w:space="0" w:color="D9D9D9"/>
        <w:bottom w:val="single" w:sz="8" w:space="0" w:color="D9D9D9"/>
      </w:pBdr>
      <w:shd w:val="clear" w:color="000000" w:fill="8DB4E2"/>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rPr>
  </w:style>
  <w:style w:type="paragraph" w:customStyle="1" w:styleId="xl90">
    <w:name w:val="xl90"/>
    <w:basedOn w:val="Normal"/>
    <w:rsid w:val="006F646F"/>
    <w:pPr>
      <w:pBdr>
        <w:top w:val="single" w:sz="8" w:space="0" w:color="D9D9D9"/>
        <w:bottom w:val="single" w:sz="8" w:space="0" w:color="D9D9D9"/>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1">
    <w:name w:val="xl91"/>
    <w:basedOn w:val="Normal"/>
    <w:rsid w:val="006F646F"/>
    <w:pPr>
      <w:pBdr>
        <w:top w:val="single" w:sz="8" w:space="0" w:color="D9D9D9"/>
        <w:bottom w:val="single" w:sz="8" w:space="0" w:color="D9D9D9"/>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rsid w:val="006F646F"/>
    <w:pPr>
      <w:pBdr>
        <w:top w:val="single" w:sz="8" w:space="0" w:color="D9D9D9"/>
        <w:bottom w:val="single" w:sz="8" w:space="0" w:color="D9D9D9"/>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3">
    <w:name w:val="xl93"/>
    <w:basedOn w:val="Normal"/>
    <w:rsid w:val="006F646F"/>
    <w:pPr>
      <w:pBdr>
        <w:top w:val="single" w:sz="8" w:space="0" w:color="D9D9D9"/>
        <w:bottom w:val="single" w:sz="8" w:space="0" w:color="D9D9D9"/>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rsid w:val="006F646F"/>
    <w:pPr>
      <w:pBdr>
        <w:top w:val="single" w:sz="8" w:space="0" w:color="D9D9D9"/>
        <w:bottom w:val="single" w:sz="8" w:space="0" w:color="D9D9D9"/>
      </w:pBdr>
      <w:shd w:val="clear" w:color="000000" w:fill="B1A0C7"/>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rPr>
  </w:style>
  <w:style w:type="paragraph" w:customStyle="1" w:styleId="xl95">
    <w:name w:val="xl95"/>
    <w:basedOn w:val="Normal"/>
    <w:rsid w:val="006F646F"/>
    <w:pPr>
      <w:pBdr>
        <w:top w:val="single" w:sz="8" w:space="0" w:color="D9D9D9"/>
        <w:bottom w:val="single" w:sz="8" w:space="0" w:color="D9D9D9"/>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6">
    <w:name w:val="xl96"/>
    <w:basedOn w:val="Normal"/>
    <w:rsid w:val="006F646F"/>
    <w:pPr>
      <w:pBdr>
        <w:top w:val="single" w:sz="8" w:space="0" w:color="D9D9D9"/>
        <w:bottom w:val="single" w:sz="8" w:space="0" w:color="D9D9D9"/>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Normal"/>
    <w:rsid w:val="006F646F"/>
    <w:pPr>
      <w:pBdr>
        <w:top w:val="single" w:sz="8" w:space="0" w:color="D9D9D9"/>
        <w:bottom w:val="single" w:sz="8" w:space="0" w:color="D9D9D9"/>
      </w:pBdr>
      <w:shd w:val="clear" w:color="000000" w:fill="DA9694"/>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rPr>
  </w:style>
  <w:style w:type="paragraph" w:customStyle="1" w:styleId="xl98">
    <w:name w:val="xl98"/>
    <w:basedOn w:val="Normal"/>
    <w:rsid w:val="006F646F"/>
    <w:pPr>
      <w:pBdr>
        <w:top w:val="single" w:sz="8" w:space="0" w:color="D9D9D9"/>
        <w:bottom w:val="single" w:sz="8" w:space="0" w:color="D9D9D9"/>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Normal"/>
    <w:rsid w:val="006F646F"/>
    <w:pPr>
      <w:pBdr>
        <w:top w:val="single" w:sz="8" w:space="0" w:color="D9D9D9"/>
        <w:bottom w:val="single" w:sz="8" w:space="0" w:color="D9D9D9"/>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Normal"/>
    <w:rsid w:val="006F646F"/>
    <w:pPr>
      <w:pBdr>
        <w:top w:val="single" w:sz="8" w:space="0" w:color="D9D9D9"/>
        <w:bottom w:val="single" w:sz="8" w:space="0" w:color="D9D9D9"/>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1">
    <w:name w:val="xl101"/>
    <w:basedOn w:val="Normal"/>
    <w:rsid w:val="006F646F"/>
    <w:pPr>
      <w:pBdr>
        <w:top w:val="single" w:sz="8" w:space="0" w:color="D9D9D9"/>
        <w:bottom w:val="single" w:sz="8" w:space="0" w:color="D9D9D9"/>
        <w:right w:val="single" w:sz="4" w:space="0" w:color="D9D9D9"/>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2">
    <w:name w:val="xl102"/>
    <w:basedOn w:val="Normal"/>
    <w:rsid w:val="006F646F"/>
    <w:pPr>
      <w:pBdr>
        <w:bottom w:val="single" w:sz="8" w:space="0" w:color="D9D9D9"/>
      </w:pBdr>
      <w:spacing w:before="100" w:beforeAutospacing="1" w:after="100" w:afterAutospacing="1" w:line="240" w:lineRule="auto"/>
      <w:ind w:firstLineChars="200" w:firstLine="200"/>
      <w:textAlignment w:val="center"/>
    </w:pPr>
    <w:rPr>
      <w:rFonts w:ascii="Times New Roman" w:eastAsia="Times New Roman" w:hAnsi="Times New Roman" w:cs="Times New Roman"/>
      <w:sz w:val="24"/>
      <w:szCs w:val="24"/>
    </w:rPr>
  </w:style>
  <w:style w:type="paragraph" w:customStyle="1" w:styleId="xl103">
    <w:name w:val="xl103"/>
    <w:basedOn w:val="Normal"/>
    <w:rsid w:val="006F646F"/>
    <w:pPr>
      <w:pBdr>
        <w:bottom w:val="single" w:sz="8" w:space="0" w:color="D9D9D9"/>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Normal"/>
    <w:rsid w:val="006F646F"/>
    <w:pPr>
      <w:pBdr>
        <w:top w:val="single" w:sz="4" w:space="0" w:color="auto"/>
        <w:left w:val="single" w:sz="4" w:space="0" w:color="auto"/>
        <w:bottom w:val="single" w:sz="4" w:space="0" w:color="auto"/>
        <w:right w:val="single" w:sz="4" w:space="0" w:color="auto"/>
      </w:pBdr>
      <w:shd w:val="clear" w:color="4F81BD"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05">
    <w:name w:val="xl105"/>
    <w:basedOn w:val="Normal"/>
    <w:rsid w:val="006F646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6">
    <w:name w:val="xl106"/>
    <w:basedOn w:val="Normal"/>
    <w:rsid w:val="006F646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7">
    <w:name w:val="xl107"/>
    <w:basedOn w:val="Normal"/>
    <w:rsid w:val="006F646F"/>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8">
    <w:name w:val="xl108"/>
    <w:basedOn w:val="Normal"/>
    <w:rsid w:val="006F646F"/>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9">
    <w:name w:val="xl109"/>
    <w:basedOn w:val="Normal"/>
    <w:rsid w:val="006F646F"/>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0">
    <w:name w:val="xl110"/>
    <w:basedOn w:val="Normal"/>
    <w:rsid w:val="006F646F"/>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1">
    <w:name w:val="xl111"/>
    <w:basedOn w:val="Normal"/>
    <w:rsid w:val="006F646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2">
    <w:name w:val="xl112"/>
    <w:basedOn w:val="Normal"/>
    <w:rsid w:val="006F646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3">
    <w:name w:val="xl113"/>
    <w:basedOn w:val="Normal"/>
    <w:rsid w:val="006F646F"/>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4">
    <w:name w:val="xl114"/>
    <w:basedOn w:val="Normal"/>
    <w:rsid w:val="006F646F"/>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5">
    <w:name w:val="xl115"/>
    <w:basedOn w:val="Normal"/>
    <w:rsid w:val="006F646F"/>
    <w:pPr>
      <w:pBdr>
        <w:top w:val="single" w:sz="4" w:space="0" w:color="auto"/>
        <w:bottom w:val="single" w:sz="4" w:space="0" w:color="auto"/>
        <w:right w:val="single" w:sz="4" w:space="0" w:color="auto"/>
      </w:pBdr>
      <w:shd w:val="clear" w:color="4F81BD"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16">
    <w:name w:val="xl116"/>
    <w:basedOn w:val="Normal"/>
    <w:rsid w:val="006F646F"/>
    <w:pPr>
      <w:pBdr>
        <w:top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7">
    <w:name w:val="xl117"/>
    <w:basedOn w:val="Normal"/>
    <w:rsid w:val="006F646F"/>
    <w:pPr>
      <w:pBdr>
        <w:top w:val="single" w:sz="4" w:space="0" w:color="auto"/>
        <w:bottom w:val="single" w:sz="4" w:space="0" w:color="auto"/>
        <w:right w:val="single" w:sz="4" w:space="0" w:color="auto"/>
      </w:pBdr>
      <w:shd w:val="clear" w:color="000000" w:fill="B1A0C7"/>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8">
    <w:name w:val="xl118"/>
    <w:basedOn w:val="Normal"/>
    <w:rsid w:val="006F646F"/>
    <w:pPr>
      <w:pBdr>
        <w:top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9">
    <w:name w:val="xl119"/>
    <w:basedOn w:val="Normal"/>
    <w:rsid w:val="006F646F"/>
    <w:pPr>
      <w:pBdr>
        <w:top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0">
    <w:name w:val="xl120"/>
    <w:basedOn w:val="Normal"/>
    <w:rsid w:val="006F646F"/>
    <w:pPr>
      <w:pBdr>
        <w:top w:val="single" w:sz="4" w:space="0" w:color="auto"/>
        <w:bottom w:val="single" w:sz="4" w:space="0" w:color="auto"/>
        <w:right w:val="single" w:sz="4" w:space="0" w:color="auto"/>
      </w:pBdr>
      <w:shd w:val="clear" w:color="000000" w:fill="DA9694"/>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1">
    <w:name w:val="xl121"/>
    <w:basedOn w:val="Normal"/>
    <w:rsid w:val="006F646F"/>
    <w:pPr>
      <w:pBdr>
        <w:top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2">
    <w:name w:val="xl122"/>
    <w:basedOn w:val="Normal"/>
    <w:rsid w:val="006F646F"/>
    <w:pPr>
      <w:pBdr>
        <w:top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23">
    <w:name w:val="xl123"/>
    <w:basedOn w:val="Normal"/>
    <w:rsid w:val="006F646F"/>
    <w:pPr>
      <w:pBdr>
        <w:top w:val="single" w:sz="4" w:space="0" w:color="auto"/>
        <w:bottom w:val="single" w:sz="4" w:space="0" w:color="auto"/>
        <w:right w:val="single" w:sz="4" w:space="0" w:color="auto"/>
      </w:pBdr>
      <w:shd w:val="clear" w:color="000000" w:fill="DA9694"/>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4">
    <w:name w:val="xl124"/>
    <w:basedOn w:val="Normal"/>
    <w:rsid w:val="006F64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5">
    <w:name w:val="xl125"/>
    <w:basedOn w:val="Normal"/>
    <w:rsid w:val="006F64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6">
    <w:name w:val="xl126"/>
    <w:basedOn w:val="Normal"/>
    <w:rsid w:val="006F646F"/>
    <w:pPr>
      <w:pBdr>
        <w:left w:val="single" w:sz="4" w:space="0" w:color="auto"/>
        <w:bottom w:val="single" w:sz="4" w:space="0" w:color="auto"/>
        <w:right w:val="single" w:sz="4" w:space="0" w:color="auto"/>
      </w:pBdr>
      <w:shd w:val="clear" w:color="4F81BD"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styleId="EndnoteText">
    <w:name w:val="endnote text"/>
    <w:basedOn w:val="Normal"/>
    <w:link w:val="EndnoteTextChar"/>
    <w:uiPriority w:val="99"/>
    <w:semiHidden/>
    <w:unhideWhenUsed/>
    <w:rsid w:val="006F646F"/>
    <w:pPr>
      <w:spacing w:after="0" w:line="240" w:lineRule="auto"/>
    </w:pPr>
    <w:rPr>
      <w:rFonts w:ascii="Palatino Linotype" w:hAnsi="Palatino Linotype"/>
      <w:sz w:val="20"/>
      <w:szCs w:val="20"/>
    </w:rPr>
  </w:style>
  <w:style w:type="character" w:customStyle="1" w:styleId="EndnoteTextChar">
    <w:name w:val="Endnote Text Char"/>
    <w:basedOn w:val="DefaultParagraphFont"/>
    <w:link w:val="EndnoteText"/>
    <w:uiPriority w:val="99"/>
    <w:semiHidden/>
    <w:rsid w:val="006F646F"/>
    <w:rPr>
      <w:rFonts w:ascii="Palatino Linotype" w:hAnsi="Palatino Linotype"/>
      <w:sz w:val="20"/>
      <w:szCs w:val="20"/>
    </w:rPr>
  </w:style>
  <w:style w:type="character" w:styleId="EndnoteReference">
    <w:name w:val="endnote reference"/>
    <w:basedOn w:val="DefaultParagraphFont"/>
    <w:uiPriority w:val="99"/>
    <w:semiHidden/>
    <w:unhideWhenUsed/>
    <w:rsid w:val="006F646F"/>
    <w:rPr>
      <w:vertAlign w:val="superscript"/>
    </w:rPr>
  </w:style>
  <w:style w:type="character" w:styleId="Mention">
    <w:name w:val="Mention"/>
    <w:basedOn w:val="DefaultParagraphFont"/>
    <w:uiPriority w:val="99"/>
    <w:unhideWhenUsed/>
    <w:rsid w:val="006F646F"/>
    <w:rPr>
      <w:color w:val="2B579A"/>
      <w:shd w:val="clear" w:color="auto" w:fill="E1DFDD"/>
    </w:rPr>
  </w:style>
  <w:style w:type="numbering" w:customStyle="1" w:styleId="CurrentList1">
    <w:name w:val="Current List1"/>
    <w:uiPriority w:val="99"/>
    <w:rsid w:val="006F646F"/>
    <w:pPr>
      <w:numPr>
        <w:numId w:val="6"/>
      </w:numPr>
    </w:pPr>
  </w:style>
  <w:style w:type="character" w:customStyle="1" w:styleId="apple-converted-space">
    <w:name w:val="apple-converted-space"/>
    <w:basedOn w:val="DefaultParagraphFont"/>
    <w:rsid w:val="006F646F"/>
  </w:style>
  <w:style w:type="paragraph" w:customStyle="1" w:styleId="TOC41">
    <w:name w:val="TOC 41"/>
    <w:basedOn w:val="Normal"/>
    <w:next w:val="Normal"/>
    <w:autoRedefine/>
    <w:uiPriority w:val="39"/>
    <w:unhideWhenUsed/>
    <w:rsid w:val="006F646F"/>
    <w:pPr>
      <w:ind w:left="720"/>
    </w:pPr>
    <w:rPr>
      <w:rFonts w:eastAsia="MS Mincho" w:cs="Calibri"/>
      <w:sz w:val="20"/>
      <w:szCs w:val="20"/>
    </w:rPr>
  </w:style>
  <w:style w:type="paragraph" w:customStyle="1" w:styleId="TOC51">
    <w:name w:val="TOC 51"/>
    <w:basedOn w:val="Normal"/>
    <w:next w:val="Normal"/>
    <w:autoRedefine/>
    <w:uiPriority w:val="39"/>
    <w:unhideWhenUsed/>
    <w:rsid w:val="006F646F"/>
    <w:pPr>
      <w:ind w:left="960"/>
    </w:pPr>
    <w:rPr>
      <w:rFonts w:eastAsia="MS Mincho" w:cs="Calibri"/>
      <w:sz w:val="20"/>
      <w:szCs w:val="20"/>
    </w:rPr>
  </w:style>
  <w:style w:type="paragraph" w:customStyle="1" w:styleId="TOC61">
    <w:name w:val="TOC 61"/>
    <w:basedOn w:val="Normal"/>
    <w:next w:val="Normal"/>
    <w:autoRedefine/>
    <w:uiPriority w:val="39"/>
    <w:unhideWhenUsed/>
    <w:rsid w:val="006F646F"/>
    <w:pPr>
      <w:ind w:left="1200"/>
    </w:pPr>
    <w:rPr>
      <w:rFonts w:eastAsia="MS Mincho" w:cs="Calibri"/>
      <w:sz w:val="20"/>
      <w:szCs w:val="20"/>
    </w:rPr>
  </w:style>
  <w:style w:type="paragraph" w:customStyle="1" w:styleId="TOC71">
    <w:name w:val="TOC 71"/>
    <w:basedOn w:val="Normal"/>
    <w:next w:val="Normal"/>
    <w:autoRedefine/>
    <w:uiPriority w:val="39"/>
    <w:unhideWhenUsed/>
    <w:rsid w:val="006F646F"/>
    <w:pPr>
      <w:ind w:left="1440"/>
    </w:pPr>
    <w:rPr>
      <w:rFonts w:eastAsia="MS Mincho" w:cs="Calibri"/>
      <w:sz w:val="20"/>
      <w:szCs w:val="20"/>
    </w:rPr>
  </w:style>
  <w:style w:type="paragraph" w:customStyle="1" w:styleId="TOC81">
    <w:name w:val="TOC 81"/>
    <w:basedOn w:val="Normal"/>
    <w:next w:val="Normal"/>
    <w:autoRedefine/>
    <w:uiPriority w:val="39"/>
    <w:unhideWhenUsed/>
    <w:rsid w:val="006F646F"/>
    <w:pPr>
      <w:ind w:left="1680"/>
    </w:pPr>
    <w:rPr>
      <w:rFonts w:eastAsia="MS Mincho" w:cs="Calibri"/>
      <w:sz w:val="20"/>
      <w:szCs w:val="20"/>
    </w:rPr>
  </w:style>
  <w:style w:type="paragraph" w:customStyle="1" w:styleId="TOC91">
    <w:name w:val="TOC 91"/>
    <w:basedOn w:val="Normal"/>
    <w:next w:val="Normal"/>
    <w:autoRedefine/>
    <w:uiPriority w:val="39"/>
    <w:unhideWhenUsed/>
    <w:rsid w:val="006F646F"/>
    <w:pPr>
      <w:ind w:left="1920"/>
    </w:pPr>
    <w:rPr>
      <w:rFonts w:eastAsia="MS Mincho" w:cs="Calibri"/>
      <w:sz w:val="20"/>
      <w:szCs w:val="20"/>
    </w:rPr>
  </w:style>
  <w:style w:type="paragraph" w:customStyle="1" w:styleId="Title1">
    <w:name w:val="Title1"/>
    <w:basedOn w:val="Normal"/>
    <w:next w:val="Normal"/>
    <w:uiPriority w:val="10"/>
    <w:qFormat/>
    <w:rsid w:val="006F646F"/>
    <w:pPr>
      <w:spacing w:after="0" w:line="240" w:lineRule="auto"/>
      <w:contextualSpacing/>
    </w:pPr>
    <w:rPr>
      <w:rFonts w:ascii="Calibri Light" w:eastAsia="MS Gothic" w:hAnsi="Calibri Light" w:cs="Times New Roman"/>
      <w:caps/>
      <w:color w:val="404040"/>
      <w:spacing w:val="-10"/>
      <w:sz w:val="72"/>
      <w:szCs w:val="72"/>
    </w:rPr>
  </w:style>
  <w:style w:type="character" w:customStyle="1" w:styleId="TitleChar">
    <w:name w:val="Title Char"/>
    <w:basedOn w:val="DefaultParagraphFont"/>
    <w:link w:val="Title"/>
    <w:uiPriority w:val="10"/>
    <w:rsid w:val="006F646F"/>
    <w:rPr>
      <w:rFonts w:ascii="Calibri Light" w:eastAsia="MS Gothic" w:hAnsi="Calibri Light" w:cs="Times New Roman"/>
      <w:caps/>
      <w:color w:val="404040"/>
      <w:spacing w:val="-10"/>
      <w:sz w:val="72"/>
      <w:szCs w:val="72"/>
    </w:rPr>
  </w:style>
  <w:style w:type="paragraph" w:customStyle="1" w:styleId="Subtitle1">
    <w:name w:val="Subtitle1"/>
    <w:basedOn w:val="Normal"/>
    <w:next w:val="Normal"/>
    <w:uiPriority w:val="11"/>
    <w:qFormat/>
    <w:rsid w:val="006F646F"/>
    <w:pPr>
      <w:numPr>
        <w:ilvl w:val="1"/>
      </w:numPr>
    </w:pPr>
    <w:rPr>
      <w:rFonts w:ascii="Calibri Light" w:eastAsia="MS Gothic" w:hAnsi="Calibri Light" w:cs="Times New Roman"/>
      <w:smallCaps/>
      <w:color w:val="595959"/>
      <w:sz w:val="28"/>
      <w:szCs w:val="28"/>
    </w:rPr>
  </w:style>
  <w:style w:type="character" w:customStyle="1" w:styleId="SubtitleChar">
    <w:name w:val="Subtitle Char"/>
    <w:basedOn w:val="DefaultParagraphFont"/>
    <w:link w:val="Subtitle"/>
    <w:uiPriority w:val="11"/>
    <w:rsid w:val="006F646F"/>
    <w:rPr>
      <w:rFonts w:ascii="Calibri Light" w:eastAsia="MS Gothic" w:hAnsi="Calibri Light" w:cs="Times New Roman"/>
      <w:smallCaps/>
      <w:color w:val="595959"/>
      <w:sz w:val="28"/>
      <w:szCs w:val="28"/>
    </w:rPr>
  </w:style>
  <w:style w:type="character" w:styleId="Emphasis">
    <w:name w:val="Emphasis"/>
    <w:basedOn w:val="DefaultParagraphFont"/>
    <w:uiPriority w:val="20"/>
    <w:qFormat/>
    <w:rsid w:val="006F646F"/>
    <w:rPr>
      <w:i/>
      <w:iCs/>
    </w:rPr>
  </w:style>
  <w:style w:type="paragraph" w:customStyle="1" w:styleId="Quote1">
    <w:name w:val="Quote1"/>
    <w:basedOn w:val="Normal"/>
    <w:next w:val="Normal"/>
    <w:uiPriority w:val="29"/>
    <w:qFormat/>
    <w:rsid w:val="006F646F"/>
    <w:pPr>
      <w:spacing w:before="160" w:line="240" w:lineRule="auto"/>
      <w:ind w:left="720" w:right="720"/>
    </w:pPr>
    <w:rPr>
      <w:rFonts w:ascii="Calibri Light" w:eastAsia="MS Gothic" w:hAnsi="Calibri Light" w:cs="Times New Roman"/>
      <w:sz w:val="25"/>
      <w:szCs w:val="25"/>
    </w:rPr>
  </w:style>
  <w:style w:type="character" w:customStyle="1" w:styleId="QuoteChar">
    <w:name w:val="Quote Char"/>
    <w:basedOn w:val="DefaultParagraphFont"/>
    <w:link w:val="Quote"/>
    <w:uiPriority w:val="29"/>
    <w:rsid w:val="006F646F"/>
    <w:rPr>
      <w:rFonts w:ascii="Calibri Light" w:eastAsia="MS Gothic" w:hAnsi="Calibri Light" w:cs="Times New Roman"/>
      <w:sz w:val="25"/>
      <w:szCs w:val="25"/>
    </w:rPr>
  </w:style>
  <w:style w:type="paragraph" w:customStyle="1" w:styleId="IntenseQuote1">
    <w:name w:val="Intense Quote1"/>
    <w:basedOn w:val="Normal"/>
    <w:next w:val="Normal"/>
    <w:uiPriority w:val="30"/>
    <w:qFormat/>
    <w:rsid w:val="006F646F"/>
    <w:pPr>
      <w:spacing w:before="280" w:after="280" w:line="240" w:lineRule="auto"/>
      <w:ind w:left="1080" w:right="1080"/>
      <w:jc w:val="center"/>
    </w:pPr>
    <w:rPr>
      <w:rFonts w:eastAsia="MS Mincho"/>
      <w:color w:val="404040"/>
      <w:sz w:val="32"/>
      <w:szCs w:val="32"/>
    </w:rPr>
  </w:style>
  <w:style w:type="character" w:customStyle="1" w:styleId="IntenseQuoteChar">
    <w:name w:val="Intense Quote Char"/>
    <w:basedOn w:val="DefaultParagraphFont"/>
    <w:link w:val="IntenseQuote"/>
    <w:uiPriority w:val="30"/>
    <w:rsid w:val="006F646F"/>
    <w:rPr>
      <w:rFonts w:ascii="Calibri" w:eastAsia="MS Mincho" w:hAnsi="Calibri"/>
      <w:color w:val="404040"/>
      <w:sz w:val="32"/>
      <w:szCs w:val="32"/>
    </w:rPr>
  </w:style>
  <w:style w:type="character" w:customStyle="1" w:styleId="SubtleEmphasis1">
    <w:name w:val="Subtle Emphasis1"/>
    <w:basedOn w:val="DefaultParagraphFont"/>
    <w:uiPriority w:val="19"/>
    <w:qFormat/>
    <w:rsid w:val="006F646F"/>
    <w:rPr>
      <w:i/>
      <w:iCs/>
      <w:color w:val="595959"/>
    </w:rPr>
  </w:style>
  <w:style w:type="character" w:styleId="IntenseEmphasis">
    <w:name w:val="Intense Emphasis"/>
    <w:basedOn w:val="DefaultParagraphFont"/>
    <w:uiPriority w:val="21"/>
    <w:qFormat/>
    <w:rsid w:val="006F646F"/>
    <w:rPr>
      <w:b/>
      <w:bCs/>
      <w:i/>
      <w:iCs/>
    </w:rPr>
  </w:style>
  <w:style w:type="character" w:customStyle="1" w:styleId="SubtleReference1">
    <w:name w:val="Subtle Reference1"/>
    <w:basedOn w:val="DefaultParagraphFont"/>
    <w:uiPriority w:val="31"/>
    <w:qFormat/>
    <w:rsid w:val="006F646F"/>
    <w:rPr>
      <w:smallCaps/>
      <w:color w:val="404040"/>
      <w:u w:val="single" w:color="7F7F7F"/>
    </w:rPr>
  </w:style>
  <w:style w:type="character" w:styleId="IntenseReference">
    <w:name w:val="Intense Reference"/>
    <w:basedOn w:val="DefaultParagraphFont"/>
    <w:uiPriority w:val="32"/>
    <w:qFormat/>
    <w:rsid w:val="006F646F"/>
    <w:rPr>
      <w:b/>
      <w:bCs/>
      <w:caps w:val="0"/>
      <w:smallCaps/>
      <w:color w:val="auto"/>
      <w:spacing w:val="3"/>
      <w:u w:val="single"/>
    </w:rPr>
  </w:style>
  <w:style w:type="character" w:styleId="BookTitle">
    <w:name w:val="Book Title"/>
    <w:basedOn w:val="DefaultParagraphFont"/>
    <w:uiPriority w:val="33"/>
    <w:qFormat/>
    <w:rsid w:val="006F646F"/>
    <w:rPr>
      <w:b/>
      <w:bCs/>
      <w:smallCaps/>
      <w:spacing w:val="7"/>
    </w:rPr>
  </w:style>
  <w:style w:type="paragraph" w:customStyle="1" w:styleId="Style1">
    <w:name w:val="Style1"/>
    <w:basedOn w:val="Normal"/>
    <w:link w:val="Style1Char"/>
    <w:qFormat/>
    <w:rsid w:val="006F646F"/>
    <w:rPr>
      <w:rFonts w:eastAsia="MS Mincho" w:cs="Calibri"/>
      <w:b/>
      <w:bCs/>
      <w:color w:val="000000"/>
      <w:sz w:val="32"/>
      <w:szCs w:val="32"/>
    </w:rPr>
  </w:style>
  <w:style w:type="character" w:customStyle="1" w:styleId="Style1Char">
    <w:name w:val="Style1 Char"/>
    <w:basedOn w:val="DefaultParagraphFont"/>
    <w:link w:val="Style1"/>
    <w:rsid w:val="006F646F"/>
    <w:rPr>
      <w:rFonts w:eastAsia="MS Mincho" w:cs="Calibri"/>
      <w:b/>
      <w:bCs/>
      <w:color w:val="000000"/>
      <w:sz w:val="32"/>
      <w:szCs w:val="32"/>
    </w:rPr>
  </w:style>
  <w:style w:type="character" w:customStyle="1" w:styleId="file">
    <w:name w:val="file"/>
    <w:basedOn w:val="DefaultParagraphFont"/>
    <w:rsid w:val="006F646F"/>
  </w:style>
  <w:style w:type="paragraph" w:customStyle="1" w:styleId="rteindent1">
    <w:name w:val="rteindent1"/>
    <w:basedOn w:val="Normal"/>
    <w:rsid w:val="006F646F"/>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ImportedStyle2">
    <w:name w:val="Imported Style 2"/>
    <w:rsid w:val="006F646F"/>
    <w:pPr>
      <w:numPr>
        <w:numId w:val="11"/>
      </w:numPr>
    </w:pPr>
  </w:style>
  <w:style w:type="paragraph" w:customStyle="1" w:styleId="BodyA">
    <w:name w:val="Body A"/>
    <w:rsid w:val="006F646F"/>
    <w:rPr>
      <w:rFonts w:ascii="Calibri" w:eastAsia="Arial Unicode MS" w:hAnsi="Calibri" w:cs="Arial Unicode MS"/>
      <w:color w:val="000000"/>
      <w:u w:color="000000"/>
    </w:rPr>
  </w:style>
  <w:style w:type="paragraph" w:styleId="TableofFigures">
    <w:name w:val="table of figures"/>
    <w:basedOn w:val="Normal"/>
    <w:next w:val="Normal"/>
    <w:uiPriority w:val="99"/>
    <w:unhideWhenUsed/>
    <w:rsid w:val="006F646F"/>
    <w:pPr>
      <w:spacing w:after="120"/>
    </w:pPr>
    <w:rPr>
      <w:rFonts w:ascii="Calibri" w:hAnsi="Calibri"/>
    </w:rPr>
  </w:style>
  <w:style w:type="numbering" w:customStyle="1" w:styleId="ImportedStyle10">
    <w:name w:val="Imported Style 10"/>
    <w:rsid w:val="006F646F"/>
    <w:pPr>
      <w:numPr>
        <w:numId w:val="10"/>
      </w:numPr>
    </w:pPr>
  </w:style>
  <w:style w:type="character" w:customStyle="1" w:styleId="Hyperlink10">
    <w:name w:val="Hyperlink.1"/>
    <w:basedOn w:val="DefaultParagraphFont"/>
    <w:rsid w:val="006F646F"/>
    <w:rPr>
      <w:outline w:val="0"/>
      <w:color w:val="000000"/>
      <w:u w:val="single" w:color="0563C1"/>
    </w:rPr>
  </w:style>
  <w:style w:type="numbering" w:customStyle="1" w:styleId="Bullet">
    <w:name w:val="Bullet"/>
    <w:rsid w:val="006F646F"/>
  </w:style>
  <w:style w:type="numbering" w:customStyle="1" w:styleId="ImportedStyle11">
    <w:name w:val="Imported Style 11"/>
    <w:rsid w:val="006F646F"/>
    <w:pPr>
      <w:numPr>
        <w:numId w:val="13"/>
      </w:numPr>
    </w:pPr>
  </w:style>
  <w:style w:type="numbering" w:customStyle="1" w:styleId="NoList11">
    <w:name w:val="No List11"/>
    <w:next w:val="NoList"/>
    <w:uiPriority w:val="99"/>
    <w:semiHidden/>
    <w:unhideWhenUsed/>
    <w:rsid w:val="006F646F"/>
  </w:style>
  <w:style w:type="table" w:customStyle="1" w:styleId="TableGrid1">
    <w:name w:val="Table Grid1"/>
    <w:basedOn w:val="TableNormal"/>
    <w:next w:val="TableGrid"/>
    <w:uiPriority w:val="39"/>
    <w:rsid w:val="006F646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mportedStyle21">
    <w:name w:val="Imported Style 21"/>
    <w:rsid w:val="006F646F"/>
  </w:style>
  <w:style w:type="numbering" w:customStyle="1" w:styleId="ImportedStyle101">
    <w:name w:val="Imported Style 101"/>
    <w:rsid w:val="006F646F"/>
  </w:style>
  <w:style w:type="numbering" w:customStyle="1" w:styleId="ImportedStyle12">
    <w:name w:val="Imported Style 12"/>
    <w:rsid w:val="006F646F"/>
    <w:pPr>
      <w:numPr>
        <w:numId w:val="15"/>
      </w:numPr>
    </w:pPr>
  </w:style>
  <w:style w:type="numbering" w:customStyle="1" w:styleId="Bullet1">
    <w:name w:val="Bullet1"/>
    <w:rsid w:val="006F646F"/>
  </w:style>
  <w:style w:type="numbering" w:customStyle="1" w:styleId="ImportedStyle111">
    <w:name w:val="Imported Style 111"/>
    <w:rsid w:val="006F646F"/>
  </w:style>
  <w:style w:type="numbering" w:customStyle="1" w:styleId="NoList2">
    <w:name w:val="No List2"/>
    <w:next w:val="NoList"/>
    <w:uiPriority w:val="99"/>
    <w:semiHidden/>
    <w:unhideWhenUsed/>
    <w:rsid w:val="006F646F"/>
  </w:style>
  <w:style w:type="table" w:customStyle="1" w:styleId="TableGrid0">
    <w:name w:val="TableGrid"/>
    <w:rsid w:val="006F646F"/>
    <w:pPr>
      <w:spacing w:after="0" w:line="240" w:lineRule="auto"/>
    </w:pPr>
    <w:rPr>
      <w:rFonts w:ascii="Calibri" w:eastAsia="Times New Roman" w:hAnsi="Calibri"/>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6F646F"/>
    <w:pPr>
      <w:spacing w:after="0"/>
    </w:pPr>
    <w:rPr>
      <w:rFonts w:ascii="Calibri" w:eastAsia="Calibri" w:hAnsi="Calibri" w:cs="Calibri"/>
      <w:color w:val="000000"/>
      <w:sz w:val="20"/>
    </w:rPr>
  </w:style>
  <w:style w:type="character" w:customStyle="1" w:styleId="footnotedescriptionChar">
    <w:name w:val="footnote description Char"/>
    <w:link w:val="footnotedescription"/>
    <w:rsid w:val="006F646F"/>
    <w:rPr>
      <w:rFonts w:ascii="Calibri" w:eastAsia="Calibri" w:hAnsi="Calibri" w:cs="Calibri"/>
      <w:color w:val="000000"/>
      <w:sz w:val="20"/>
    </w:rPr>
  </w:style>
  <w:style w:type="character" w:customStyle="1" w:styleId="footnotemark">
    <w:name w:val="footnote mark"/>
    <w:hidden/>
    <w:rsid w:val="006F646F"/>
    <w:rPr>
      <w:rFonts w:ascii="Calibri" w:eastAsia="Calibri" w:hAnsi="Calibri" w:cs="Calibri"/>
      <w:color w:val="000000"/>
      <w:sz w:val="20"/>
      <w:vertAlign w:val="superscript"/>
    </w:rPr>
  </w:style>
  <w:style w:type="table" w:customStyle="1" w:styleId="TableGrid2">
    <w:name w:val="Table Grid2"/>
    <w:basedOn w:val="TableNormal"/>
    <w:next w:val="TableGrid"/>
    <w:uiPriority w:val="39"/>
    <w:rsid w:val="006F646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searchterm">
    <w:name w:val="co_searchterm"/>
    <w:basedOn w:val="DefaultParagraphFont"/>
    <w:rsid w:val="006F646F"/>
  </w:style>
  <w:style w:type="character" w:customStyle="1" w:styleId="zzmpTrailerItem">
    <w:name w:val="zzmpTrailerItem"/>
    <w:rsid w:val="006F646F"/>
    <w:rPr>
      <w:rFonts w:ascii="Arial" w:hAnsi="Arial" w:cs="Times New Roman"/>
      <w:dstrike w:val="0"/>
      <w:noProof/>
      <w:color w:val="auto"/>
      <w:spacing w:val="0"/>
      <w:position w:val="0"/>
      <w:sz w:val="16"/>
      <w:szCs w:val="16"/>
      <w:u w:val="none"/>
      <w:effect w:val="none"/>
      <w:vertAlign w:val="baseline"/>
    </w:rPr>
  </w:style>
  <w:style w:type="numbering" w:customStyle="1" w:styleId="NoList3">
    <w:name w:val="No List3"/>
    <w:next w:val="NoList"/>
    <w:uiPriority w:val="99"/>
    <w:semiHidden/>
    <w:unhideWhenUsed/>
    <w:rsid w:val="006F646F"/>
  </w:style>
  <w:style w:type="numbering" w:customStyle="1" w:styleId="NoList4">
    <w:name w:val="No List4"/>
    <w:next w:val="NoList"/>
    <w:uiPriority w:val="99"/>
    <w:semiHidden/>
    <w:unhideWhenUsed/>
    <w:rsid w:val="006F646F"/>
  </w:style>
  <w:style w:type="table" w:customStyle="1" w:styleId="TableGrid3">
    <w:name w:val="Table Grid3"/>
    <w:basedOn w:val="TableNormal"/>
    <w:next w:val="TableGrid"/>
    <w:uiPriority w:val="39"/>
    <w:rsid w:val="006F646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mportedStyle22">
    <w:name w:val="Imported Style 22"/>
    <w:rsid w:val="006F646F"/>
  </w:style>
  <w:style w:type="numbering" w:customStyle="1" w:styleId="ImportedStyle102">
    <w:name w:val="Imported Style 102"/>
    <w:rsid w:val="006F646F"/>
  </w:style>
  <w:style w:type="numbering" w:customStyle="1" w:styleId="ImportedStyle13">
    <w:name w:val="Imported Style 13"/>
    <w:rsid w:val="006F646F"/>
  </w:style>
  <w:style w:type="numbering" w:customStyle="1" w:styleId="Bullet2">
    <w:name w:val="Bullet2"/>
    <w:rsid w:val="006F646F"/>
  </w:style>
  <w:style w:type="numbering" w:customStyle="1" w:styleId="ImportedStyle112">
    <w:name w:val="Imported Style 112"/>
    <w:rsid w:val="006F646F"/>
  </w:style>
  <w:style w:type="character" w:customStyle="1" w:styleId="Hyperlink0">
    <w:name w:val="Hyperlink.0"/>
    <w:basedOn w:val="DefaultParagraphFont"/>
    <w:rsid w:val="006F646F"/>
    <w:rPr>
      <w:outline w:val="0"/>
      <w:color w:val="4472C4"/>
      <w:u w:val="single" w:color="0563C1"/>
    </w:rPr>
  </w:style>
  <w:style w:type="character" w:customStyle="1" w:styleId="Hyperlink7">
    <w:name w:val="Hyperlink.7"/>
    <w:basedOn w:val="None"/>
    <w:rsid w:val="006F646F"/>
  </w:style>
  <w:style w:type="numbering" w:customStyle="1" w:styleId="ImportedStyle19">
    <w:name w:val="Imported Style 19"/>
    <w:rsid w:val="006F646F"/>
  </w:style>
  <w:style w:type="numbering" w:customStyle="1" w:styleId="ImportedStyle6">
    <w:name w:val="Imported Style 6"/>
    <w:rsid w:val="006F646F"/>
  </w:style>
  <w:style w:type="paragraph" w:customStyle="1" w:styleId="BCTTHeading1">
    <w:name w:val="BCTT Heading 1"/>
    <w:basedOn w:val="Normal"/>
    <w:link w:val="BCTTHeading1Char"/>
    <w:qFormat/>
    <w:rsid w:val="006F646F"/>
    <w:pPr>
      <w:spacing w:after="240" w:line="240" w:lineRule="auto"/>
    </w:pPr>
    <w:rPr>
      <w:rFonts w:ascii="Palatino Linotype" w:eastAsia="Calibri" w:hAnsi="Palatino Linotype" w:cs="Calibri"/>
      <w:b/>
      <w:bCs/>
      <w:color w:val="23487B"/>
      <w:sz w:val="28"/>
      <w:szCs w:val="28"/>
    </w:rPr>
  </w:style>
  <w:style w:type="character" w:customStyle="1" w:styleId="BCTTHeading1Char">
    <w:name w:val="BCTT Heading 1 Char"/>
    <w:basedOn w:val="DefaultParagraphFont"/>
    <w:link w:val="BCTTHeading1"/>
    <w:rsid w:val="006F646F"/>
    <w:rPr>
      <w:rFonts w:ascii="Palatino Linotype" w:eastAsia="Calibri" w:hAnsi="Palatino Linotype" w:cs="Calibri"/>
      <w:b/>
      <w:bCs/>
      <w:color w:val="23487B"/>
      <w:sz w:val="28"/>
      <w:szCs w:val="28"/>
    </w:rPr>
  </w:style>
  <w:style w:type="numbering" w:customStyle="1" w:styleId="ImportedStyle110">
    <w:name w:val="Imported Style 11.0"/>
    <w:autoRedefine/>
    <w:rsid w:val="006F646F"/>
  </w:style>
  <w:style w:type="character" w:customStyle="1" w:styleId="BCTTHeading2Char">
    <w:name w:val="BCTT Heading 2 Char"/>
    <w:basedOn w:val="NoSpacingChar"/>
    <w:link w:val="BCTTHeading2"/>
    <w:rsid w:val="006F646F"/>
    <w:rPr>
      <w:rFonts w:ascii="Palatino Linotype" w:eastAsia="Calibri" w:hAnsi="Palatino Linotype" w:cs="Calibri"/>
      <w:b/>
      <w:bCs/>
      <w:color w:val="23487B"/>
      <w:sz w:val="24"/>
      <w:szCs w:val="24"/>
    </w:rPr>
  </w:style>
  <w:style w:type="paragraph" w:customStyle="1" w:styleId="BCTTStyle3">
    <w:name w:val="BCTT Style 3"/>
    <w:basedOn w:val="ListParagraph"/>
    <w:link w:val="BCTTStyle3Char"/>
    <w:qFormat/>
    <w:rsid w:val="006F646F"/>
    <w:pPr>
      <w:numPr>
        <w:ilvl w:val="1"/>
        <w:numId w:val="4"/>
      </w:numPr>
      <w:tabs>
        <w:tab w:val="num" w:pos="360"/>
      </w:tabs>
      <w:spacing w:after="240" w:line="240" w:lineRule="auto"/>
      <w:ind w:left="360" w:firstLine="0"/>
    </w:pPr>
    <w:rPr>
      <w:b/>
    </w:rPr>
  </w:style>
  <w:style w:type="character" w:customStyle="1" w:styleId="ListParagraphChar">
    <w:name w:val="List Paragraph Char"/>
    <w:basedOn w:val="DefaultParagraphFont"/>
    <w:link w:val="ListParagraph"/>
    <w:uiPriority w:val="34"/>
    <w:rsid w:val="006F646F"/>
    <w:rPr>
      <w:rFonts w:ascii="Palatino Linotype" w:hAnsi="Palatino Linotype"/>
      <w:szCs w:val="20"/>
    </w:rPr>
  </w:style>
  <w:style w:type="character" w:customStyle="1" w:styleId="BCTTStyle3Char">
    <w:name w:val="BCTT Style 3 Char"/>
    <w:basedOn w:val="ListParagraphChar"/>
    <w:link w:val="BCTTStyle3"/>
    <w:rsid w:val="006F646F"/>
    <w:rPr>
      <w:rFonts w:ascii="Palatino Linotype" w:hAnsi="Palatino Linotype"/>
      <w:b/>
      <w:szCs w:val="20"/>
    </w:rPr>
  </w:style>
  <w:style w:type="paragraph" w:customStyle="1" w:styleId="Heading11">
    <w:name w:val="Heading 11"/>
    <w:basedOn w:val="Normal"/>
    <w:next w:val="Normal"/>
    <w:uiPriority w:val="9"/>
    <w:qFormat/>
    <w:rsid w:val="006F646F"/>
    <w:pPr>
      <w:keepNext/>
      <w:keepLines/>
      <w:spacing w:before="240" w:after="0"/>
      <w:ind w:left="720" w:hanging="360"/>
      <w:outlineLvl w:val="0"/>
    </w:pPr>
    <w:rPr>
      <w:rFonts w:ascii="Franklin Gothic Book" w:eastAsia="MS Gothic" w:hAnsi="Franklin Gothic Book" w:cs="Times New Roman"/>
      <w:color w:val="2F5496"/>
      <w:sz w:val="32"/>
      <w:szCs w:val="32"/>
    </w:rPr>
  </w:style>
  <w:style w:type="paragraph" w:customStyle="1" w:styleId="Heading21">
    <w:name w:val="Heading 21"/>
    <w:basedOn w:val="Normal"/>
    <w:next w:val="Normal"/>
    <w:uiPriority w:val="9"/>
    <w:unhideWhenUsed/>
    <w:qFormat/>
    <w:rsid w:val="006F646F"/>
    <w:pPr>
      <w:keepNext/>
      <w:keepLines/>
      <w:spacing w:before="40" w:after="0"/>
      <w:ind w:left="720" w:hanging="360"/>
      <w:outlineLvl w:val="1"/>
    </w:pPr>
    <w:rPr>
      <w:rFonts w:ascii="Franklin Gothic Book" w:eastAsia="MS Gothic" w:hAnsi="Franklin Gothic Book" w:cs="Times New Roman"/>
      <w:color w:val="2F5496"/>
      <w:sz w:val="26"/>
      <w:szCs w:val="26"/>
    </w:rPr>
  </w:style>
  <w:style w:type="paragraph" w:customStyle="1" w:styleId="Heading31">
    <w:name w:val="Heading 31"/>
    <w:basedOn w:val="Normal"/>
    <w:next w:val="Normal"/>
    <w:uiPriority w:val="9"/>
    <w:unhideWhenUsed/>
    <w:qFormat/>
    <w:rsid w:val="006F646F"/>
    <w:pPr>
      <w:keepNext/>
      <w:keepLines/>
      <w:spacing w:before="40" w:after="0"/>
      <w:outlineLvl w:val="2"/>
    </w:pPr>
    <w:rPr>
      <w:rFonts w:ascii="Franklin Gothic Book" w:eastAsia="MS Gothic" w:hAnsi="Franklin Gothic Book" w:cs="Times New Roman"/>
      <w:color w:val="1F3763"/>
      <w:sz w:val="24"/>
      <w:szCs w:val="24"/>
    </w:rPr>
  </w:style>
  <w:style w:type="paragraph" w:customStyle="1" w:styleId="TOC21">
    <w:name w:val="TOC 21"/>
    <w:basedOn w:val="Normal"/>
    <w:next w:val="Normal"/>
    <w:autoRedefine/>
    <w:uiPriority w:val="39"/>
    <w:unhideWhenUsed/>
    <w:rsid w:val="006F646F"/>
    <w:pPr>
      <w:tabs>
        <w:tab w:val="left" w:pos="1200"/>
        <w:tab w:val="right" w:leader="dot" w:pos="9350"/>
      </w:tabs>
      <w:spacing w:after="100"/>
      <w:ind w:left="360"/>
    </w:pPr>
    <w:rPr>
      <w:rFonts w:ascii="Franklin Gothic Book" w:hAnsi="Franklin Gothic Book"/>
      <w:b/>
      <w:bCs/>
      <w:color w:val="0070C0"/>
      <w:sz w:val="24"/>
      <w:szCs w:val="24"/>
    </w:rPr>
  </w:style>
  <w:style w:type="paragraph" w:customStyle="1" w:styleId="Caption1">
    <w:name w:val="Caption1"/>
    <w:basedOn w:val="Normal"/>
    <w:next w:val="Normal"/>
    <w:unhideWhenUsed/>
    <w:qFormat/>
    <w:rsid w:val="006F646F"/>
    <w:pPr>
      <w:spacing w:line="240" w:lineRule="auto"/>
      <w:jc w:val="center"/>
    </w:pPr>
    <w:rPr>
      <w:rFonts w:ascii="Palatino Linotype" w:eastAsia="MS Mincho" w:hAnsi="Palatino Linotype"/>
      <w:b/>
      <w:bCs/>
      <w:color w:val="595959"/>
    </w:rPr>
  </w:style>
  <w:style w:type="numbering" w:customStyle="1" w:styleId="NoList111">
    <w:name w:val="No List111"/>
    <w:next w:val="NoList"/>
    <w:uiPriority w:val="99"/>
    <w:semiHidden/>
    <w:unhideWhenUsed/>
    <w:rsid w:val="006F646F"/>
  </w:style>
  <w:style w:type="character" w:customStyle="1" w:styleId="Heading1Char1">
    <w:name w:val="Heading 1 Char1"/>
    <w:basedOn w:val="DefaultParagraphFont"/>
    <w:uiPriority w:val="9"/>
    <w:rsid w:val="006F646F"/>
    <w:rPr>
      <w:rFonts w:ascii="Calibri Light" w:eastAsia="MS Gothic" w:hAnsi="Calibri Light" w:cs="Times New Roman"/>
      <w:color w:val="2F5496"/>
      <w:sz w:val="32"/>
      <w:szCs w:val="32"/>
    </w:rPr>
  </w:style>
  <w:style w:type="character" w:customStyle="1" w:styleId="Heading2Char1">
    <w:name w:val="Heading 2 Char1"/>
    <w:basedOn w:val="DefaultParagraphFont"/>
    <w:uiPriority w:val="9"/>
    <w:semiHidden/>
    <w:rsid w:val="006F646F"/>
    <w:rPr>
      <w:rFonts w:ascii="Calibri Light" w:eastAsia="MS Gothic" w:hAnsi="Calibri Light" w:cs="Times New Roman"/>
      <w:color w:val="2F5496"/>
      <w:sz w:val="26"/>
      <w:szCs w:val="26"/>
    </w:rPr>
  </w:style>
  <w:style w:type="character" w:customStyle="1" w:styleId="Heading3Char1">
    <w:name w:val="Heading 3 Char1"/>
    <w:basedOn w:val="DefaultParagraphFont"/>
    <w:uiPriority w:val="9"/>
    <w:semiHidden/>
    <w:rsid w:val="006F646F"/>
    <w:rPr>
      <w:rFonts w:ascii="Calibri Light" w:eastAsia="MS Gothic" w:hAnsi="Calibri Light" w:cs="Times New Roman"/>
      <w:color w:val="1F3763"/>
      <w:sz w:val="24"/>
      <w:szCs w:val="24"/>
    </w:rPr>
  </w:style>
  <w:style w:type="character" w:customStyle="1" w:styleId="Heading4Char1">
    <w:name w:val="Heading 4 Char1"/>
    <w:basedOn w:val="DefaultParagraphFont"/>
    <w:uiPriority w:val="9"/>
    <w:semiHidden/>
    <w:rsid w:val="006F646F"/>
    <w:rPr>
      <w:rFonts w:ascii="Calibri Light" w:eastAsia="MS Gothic" w:hAnsi="Calibri Light" w:cs="Times New Roman"/>
      <w:i/>
      <w:iCs/>
      <w:color w:val="2F5496"/>
    </w:rPr>
  </w:style>
  <w:style w:type="character" w:customStyle="1" w:styleId="Heading5Char1">
    <w:name w:val="Heading 5 Char1"/>
    <w:basedOn w:val="DefaultParagraphFont"/>
    <w:uiPriority w:val="9"/>
    <w:semiHidden/>
    <w:rsid w:val="006F646F"/>
    <w:rPr>
      <w:rFonts w:ascii="Calibri Light" w:eastAsia="MS Gothic" w:hAnsi="Calibri Light" w:cs="Times New Roman"/>
      <w:color w:val="2F5496"/>
    </w:rPr>
  </w:style>
  <w:style w:type="character" w:customStyle="1" w:styleId="Heading6Char1">
    <w:name w:val="Heading 6 Char1"/>
    <w:basedOn w:val="DefaultParagraphFont"/>
    <w:uiPriority w:val="9"/>
    <w:semiHidden/>
    <w:rsid w:val="006F646F"/>
    <w:rPr>
      <w:rFonts w:ascii="Calibri Light" w:eastAsia="MS Gothic" w:hAnsi="Calibri Light" w:cs="Times New Roman"/>
      <w:color w:val="1F3763"/>
    </w:rPr>
  </w:style>
  <w:style w:type="character" w:customStyle="1" w:styleId="Heading7Char1">
    <w:name w:val="Heading 7 Char1"/>
    <w:basedOn w:val="DefaultParagraphFont"/>
    <w:uiPriority w:val="9"/>
    <w:semiHidden/>
    <w:rsid w:val="006F646F"/>
    <w:rPr>
      <w:rFonts w:ascii="Calibri Light" w:eastAsia="MS Gothic" w:hAnsi="Calibri Light" w:cs="Times New Roman"/>
      <w:i/>
      <w:iCs/>
      <w:color w:val="1F3763"/>
    </w:rPr>
  </w:style>
  <w:style w:type="character" w:customStyle="1" w:styleId="Heading8Char1">
    <w:name w:val="Heading 8 Char1"/>
    <w:basedOn w:val="DefaultParagraphFont"/>
    <w:uiPriority w:val="9"/>
    <w:semiHidden/>
    <w:rsid w:val="006F646F"/>
    <w:rPr>
      <w:rFonts w:ascii="Calibri Light" w:eastAsia="MS Gothic" w:hAnsi="Calibri Light" w:cs="Times New Roman"/>
      <w:color w:val="272727"/>
      <w:sz w:val="21"/>
      <w:szCs w:val="21"/>
    </w:rPr>
  </w:style>
  <w:style w:type="character" w:customStyle="1" w:styleId="Heading9Char1">
    <w:name w:val="Heading 9 Char1"/>
    <w:basedOn w:val="DefaultParagraphFont"/>
    <w:uiPriority w:val="9"/>
    <w:semiHidden/>
    <w:rsid w:val="006F646F"/>
    <w:rPr>
      <w:rFonts w:ascii="Calibri Light" w:eastAsia="MS Gothic" w:hAnsi="Calibri Light" w:cs="Times New Roman"/>
      <w:i/>
      <w:iCs/>
      <w:color w:val="272727"/>
      <w:sz w:val="21"/>
      <w:szCs w:val="21"/>
    </w:rPr>
  </w:style>
  <w:style w:type="character" w:customStyle="1" w:styleId="TitleChar1">
    <w:name w:val="Title Char1"/>
    <w:basedOn w:val="DefaultParagraphFont"/>
    <w:uiPriority w:val="10"/>
    <w:rsid w:val="006F646F"/>
    <w:rPr>
      <w:rFonts w:ascii="Calibri Light" w:eastAsia="MS Gothic" w:hAnsi="Calibri Light" w:cs="Times New Roman"/>
      <w:spacing w:val="-10"/>
      <w:kern w:val="28"/>
      <w:sz w:val="56"/>
      <w:szCs w:val="56"/>
    </w:rPr>
  </w:style>
  <w:style w:type="character" w:customStyle="1" w:styleId="SubtitleChar1">
    <w:name w:val="Subtitle Char1"/>
    <w:basedOn w:val="DefaultParagraphFont"/>
    <w:uiPriority w:val="11"/>
    <w:rsid w:val="006F646F"/>
    <w:rPr>
      <w:rFonts w:eastAsia="MS Mincho"/>
      <w:color w:val="5A5A5A"/>
      <w:spacing w:val="15"/>
    </w:rPr>
  </w:style>
  <w:style w:type="character" w:customStyle="1" w:styleId="QuoteChar1">
    <w:name w:val="Quote Char1"/>
    <w:basedOn w:val="DefaultParagraphFont"/>
    <w:uiPriority w:val="29"/>
    <w:rsid w:val="006F646F"/>
    <w:rPr>
      <w:i/>
      <w:iCs/>
      <w:color w:val="404040"/>
    </w:rPr>
  </w:style>
  <w:style w:type="character" w:customStyle="1" w:styleId="IntenseQuoteChar1">
    <w:name w:val="Intense Quote Char1"/>
    <w:basedOn w:val="DefaultParagraphFont"/>
    <w:uiPriority w:val="30"/>
    <w:rsid w:val="006F646F"/>
    <w:rPr>
      <w:i/>
      <w:iCs/>
      <w:color w:val="4472C4"/>
    </w:rPr>
  </w:style>
  <w:style w:type="table" w:customStyle="1" w:styleId="GridTable7Colorful-Accent41">
    <w:name w:val="Grid Table 7 Colorful - Accent 41"/>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numbering" w:customStyle="1" w:styleId="NoList5">
    <w:name w:val="No List5"/>
    <w:next w:val="NoList"/>
    <w:uiPriority w:val="99"/>
    <w:semiHidden/>
    <w:unhideWhenUsed/>
    <w:rsid w:val="006F646F"/>
  </w:style>
  <w:style w:type="numbering" w:customStyle="1" w:styleId="ImportedStyle14">
    <w:name w:val="Imported Style 14"/>
    <w:rsid w:val="006F646F"/>
  </w:style>
  <w:style w:type="numbering" w:customStyle="1" w:styleId="CurrentList11">
    <w:name w:val="Current List11"/>
    <w:uiPriority w:val="99"/>
    <w:rsid w:val="006F646F"/>
  </w:style>
  <w:style w:type="numbering" w:customStyle="1" w:styleId="ImportedStyle23">
    <w:name w:val="Imported Style 23"/>
    <w:rsid w:val="006F646F"/>
  </w:style>
  <w:style w:type="numbering" w:customStyle="1" w:styleId="ImportedStyle103">
    <w:name w:val="Imported Style 103"/>
    <w:rsid w:val="006F646F"/>
  </w:style>
  <w:style w:type="numbering" w:customStyle="1" w:styleId="Bullet3">
    <w:name w:val="Bullet3"/>
    <w:rsid w:val="006F646F"/>
  </w:style>
  <w:style w:type="numbering" w:customStyle="1" w:styleId="ImportedStyle113">
    <w:name w:val="Imported Style 113"/>
    <w:rsid w:val="006F646F"/>
  </w:style>
  <w:style w:type="numbering" w:customStyle="1" w:styleId="NoList12">
    <w:name w:val="No List12"/>
    <w:next w:val="NoList"/>
    <w:uiPriority w:val="99"/>
    <w:semiHidden/>
    <w:unhideWhenUsed/>
    <w:rsid w:val="006F646F"/>
  </w:style>
  <w:style w:type="numbering" w:customStyle="1" w:styleId="ImportedStyle211">
    <w:name w:val="Imported Style 211"/>
    <w:rsid w:val="006F646F"/>
  </w:style>
  <w:style w:type="numbering" w:customStyle="1" w:styleId="ImportedStyle1011">
    <w:name w:val="Imported Style 1011"/>
    <w:rsid w:val="006F646F"/>
  </w:style>
  <w:style w:type="numbering" w:customStyle="1" w:styleId="ImportedStyle121">
    <w:name w:val="Imported Style 121"/>
    <w:rsid w:val="006F646F"/>
  </w:style>
  <w:style w:type="numbering" w:customStyle="1" w:styleId="Bullet11">
    <w:name w:val="Bullet11"/>
    <w:rsid w:val="006F646F"/>
  </w:style>
  <w:style w:type="numbering" w:customStyle="1" w:styleId="ImportedStyle1111">
    <w:name w:val="Imported Style 1111"/>
    <w:rsid w:val="006F646F"/>
  </w:style>
  <w:style w:type="numbering" w:customStyle="1" w:styleId="NoList21">
    <w:name w:val="No List21"/>
    <w:next w:val="NoList"/>
    <w:uiPriority w:val="99"/>
    <w:semiHidden/>
    <w:unhideWhenUsed/>
    <w:rsid w:val="006F646F"/>
  </w:style>
  <w:style w:type="numbering" w:customStyle="1" w:styleId="NoList31">
    <w:name w:val="No List31"/>
    <w:next w:val="NoList"/>
    <w:uiPriority w:val="99"/>
    <w:semiHidden/>
    <w:unhideWhenUsed/>
    <w:rsid w:val="006F646F"/>
  </w:style>
  <w:style w:type="numbering" w:customStyle="1" w:styleId="NoList41">
    <w:name w:val="No List41"/>
    <w:next w:val="NoList"/>
    <w:uiPriority w:val="99"/>
    <w:semiHidden/>
    <w:unhideWhenUsed/>
    <w:rsid w:val="006F646F"/>
  </w:style>
  <w:style w:type="numbering" w:customStyle="1" w:styleId="ImportedStyle221">
    <w:name w:val="Imported Style 221"/>
    <w:rsid w:val="006F646F"/>
  </w:style>
  <w:style w:type="numbering" w:customStyle="1" w:styleId="ImportedStyle1021">
    <w:name w:val="Imported Style 1021"/>
    <w:rsid w:val="006F646F"/>
  </w:style>
  <w:style w:type="numbering" w:customStyle="1" w:styleId="ImportedStyle131">
    <w:name w:val="Imported Style 131"/>
    <w:rsid w:val="006F646F"/>
  </w:style>
  <w:style w:type="numbering" w:customStyle="1" w:styleId="Bullet21">
    <w:name w:val="Bullet21"/>
    <w:rsid w:val="006F646F"/>
  </w:style>
  <w:style w:type="numbering" w:customStyle="1" w:styleId="ImportedStyle1121">
    <w:name w:val="Imported Style 1121"/>
    <w:rsid w:val="006F646F"/>
  </w:style>
  <w:style w:type="numbering" w:customStyle="1" w:styleId="ImportedStyle191">
    <w:name w:val="Imported Style 191"/>
    <w:rsid w:val="006F646F"/>
  </w:style>
  <w:style w:type="numbering" w:customStyle="1" w:styleId="ImportedStyle61">
    <w:name w:val="Imported Style 61"/>
    <w:rsid w:val="006F646F"/>
  </w:style>
  <w:style w:type="numbering" w:customStyle="1" w:styleId="ImportedStyle1101">
    <w:name w:val="Imported Style 11.01"/>
    <w:autoRedefine/>
    <w:rsid w:val="006F646F"/>
  </w:style>
  <w:style w:type="character" w:customStyle="1" w:styleId="Hyperlink3">
    <w:name w:val="Hyperlink.3"/>
    <w:basedOn w:val="None"/>
    <w:autoRedefine/>
    <w:rsid w:val="006F646F"/>
    <w:rPr>
      <w:rFonts w:ascii="Palatino Linotype" w:eastAsia="Palatino Linotype" w:hAnsi="Palatino Linotype" w:cs="Palatino Linotype"/>
    </w:rPr>
  </w:style>
  <w:style w:type="numbering" w:customStyle="1" w:styleId="NoList1111">
    <w:name w:val="No List1111"/>
    <w:next w:val="NoList"/>
    <w:uiPriority w:val="99"/>
    <w:semiHidden/>
    <w:unhideWhenUsed/>
    <w:rsid w:val="006F646F"/>
  </w:style>
  <w:style w:type="table" w:customStyle="1" w:styleId="GridTable7Colorful-Accent411">
    <w:name w:val="Grid Table 7 Colorful - Accent 411"/>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character" w:customStyle="1" w:styleId="Heading1Char2">
    <w:name w:val="Heading 1 Char2"/>
    <w:basedOn w:val="DefaultParagraphFont"/>
    <w:uiPriority w:val="9"/>
    <w:rsid w:val="006F646F"/>
    <w:rPr>
      <w:rFonts w:ascii="Calibri Light" w:eastAsia="MS Gothic" w:hAnsi="Calibri Light" w:cs="Times New Roman"/>
      <w:color w:val="2F5496"/>
      <w:sz w:val="32"/>
      <w:szCs w:val="32"/>
    </w:rPr>
  </w:style>
  <w:style w:type="character" w:customStyle="1" w:styleId="Heading4Char2">
    <w:name w:val="Heading 4 Char2"/>
    <w:basedOn w:val="DefaultParagraphFont"/>
    <w:uiPriority w:val="9"/>
    <w:semiHidden/>
    <w:rsid w:val="006F646F"/>
    <w:rPr>
      <w:rFonts w:ascii="Calibri Light" w:eastAsia="MS Gothic" w:hAnsi="Calibri Light" w:cs="Times New Roman"/>
      <w:i/>
      <w:iCs/>
      <w:color w:val="2F5496"/>
    </w:rPr>
  </w:style>
  <w:style w:type="character" w:customStyle="1" w:styleId="Heading5Char2">
    <w:name w:val="Heading 5 Char2"/>
    <w:basedOn w:val="DefaultParagraphFont"/>
    <w:uiPriority w:val="9"/>
    <w:semiHidden/>
    <w:rsid w:val="006F646F"/>
    <w:rPr>
      <w:rFonts w:ascii="Calibri Light" w:eastAsia="MS Gothic" w:hAnsi="Calibri Light" w:cs="Times New Roman"/>
      <w:color w:val="2F5496"/>
    </w:rPr>
  </w:style>
  <w:style w:type="character" w:customStyle="1" w:styleId="Heading6Char2">
    <w:name w:val="Heading 6 Char2"/>
    <w:basedOn w:val="DefaultParagraphFont"/>
    <w:uiPriority w:val="9"/>
    <w:semiHidden/>
    <w:rsid w:val="006F646F"/>
    <w:rPr>
      <w:rFonts w:ascii="Calibri Light" w:eastAsia="MS Gothic" w:hAnsi="Calibri Light" w:cs="Times New Roman"/>
      <w:color w:val="1F3763"/>
    </w:rPr>
  </w:style>
  <w:style w:type="character" w:customStyle="1" w:styleId="Heading7Char2">
    <w:name w:val="Heading 7 Char2"/>
    <w:basedOn w:val="DefaultParagraphFont"/>
    <w:uiPriority w:val="9"/>
    <w:semiHidden/>
    <w:rsid w:val="006F646F"/>
    <w:rPr>
      <w:rFonts w:ascii="Calibri Light" w:eastAsia="MS Gothic" w:hAnsi="Calibri Light" w:cs="Times New Roman"/>
      <w:i/>
      <w:iCs/>
      <w:color w:val="1F3763"/>
    </w:rPr>
  </w:style>
  <w:style w:type="character" w:customStyle="1" w:styleId="Heading8Char2">
    <w:name w:val="Heading 8 Char2"/>
    <w:basedOn w:val="DefaultParagraphFont"/>
    <w:uiPriority w:val="9"/>
    <w:semiHidden/>
    <w:rsid w:val="006F646F"/>
    <w:rPr>
      <w:rFonts w:ascii="Calibri Light" w:eastAsia="MS Gothic" w:hAnsi="Calibri Light" w:cs="Times New Roman"/>
      <w:color w:val="272727"/>
      <w:sz w:val="21"/>
      <w:szCs w:val="21"/>
    </w:rPr>
  </w:style>
  <w:style w:type="character" w:customStyle="1" w:styleId="Heading9Char2">
    <w:name w:val="Heading 9 Char2"/>
    <w:basedOn w:val="DefaultParagraphFont"/>
    <w:uiPriority w:val="9"/>
    <w:semiHidden/>
    <w:rsid w:val="006F646F"/>
    <w:rPr>
      <w:rFonts w:ascii="Calibri Light" w:eastAsia="MS Gothic" w:hAnsi="Calibri Light" w:cs="Times New Roman"/>
      <w:i/>
      <w:iCs/>
      <w:color w:val="272727"/>
      <w:sz w:val="21"/>
      <w:szCs w:val="21"/>
    </w:rPr>
  </w:style>
  <w:style w:type="character" w:customStyle="1" w:styleId="TitleChar2">
    <w:name w:val="Title Char2"/>
    <w:basedOn w:val="DefaultParagraphFont"/>
    <w:uiPriority w:val="10"/>
    <w:rsid w:val="006F646F"/>
    <w:rPr>
      <w:rFonts w:ascii="Calibri Light" w:eastAsia="MS Gothic" w:hAnsi="Calibri Light" w:cs="Times New Roman"/>
      <w:spacing w:val="-10"/>
      <w:kern w:val="28"/>
      <w:sz w:val="56"/>
      <w:szCs w:val="56"/>
    </w:rPr>
  </w:style>
  <w:style w:type="character" w:customStyle="1" w:styleId="SubtitleChar2">
    <w:name w:val="Subtitle Char2"/>
    <w:basedOn w:val="DefaultParagraphFont"/>
    <w:uiPriority w:val="11"/>
    <w:rsid w:val="006F646F"/>
    <w:rPr>
      <w:rFonts w:eastAsia="MS Mincho"/>
      <w:color w:val="5A5A5A"/>
      <w:spacing w:val="15"/>
    </w:rPr>
  </w:style>
  <w:style w:type="character" w:customStyle="1" w:styleId="QuoteChar2">
    <w:name w:val="Quote Char2"/>
    <w:basedOn w:val="DefaultParagraphFont"/>
    <w:uiPriority w:val="29"/>
    <w:rsid w:val="006F646F"/>
    <w:rPr>
      <w:i/>
      <w:iCs/>
      <w:color w:val="404040"/>
    </w:rPr>
  </w:style>
  <w:style w:type="character" w:customStyle="1" w:styleId="IntenseQuoteChar2">
    <w:name w:val="Intense Quote Char2"/>
    <w:basedOn w:val="DefaultParagraphFont"/>
    <w:uiPriority w:val="30"/>
    <w:rsid w:val="006F646F"/>
    <w:rPr>
      <w:i/>
      <w:iCs/>
      <w:color w:val="4472C4"/>
    </w:rPr>
  </w:style>
  <w:style w:type="character" w:styleId="FollowedHyperlink">
    <w:name w:val="FollowedHyperlink"/>
    <w:basedOn w:val="DefaultParagraphFont"/>
    <w:uiPriority w:val="99"/>
    <w:semiHidden/>
    <w:unhideWhenUsed/>
    <w:rsid w:val="006F646F"/>
    <w:rPr>
      <w:color w:val="954F72" w:themeColor="followedHyperlink"/>
      <w:u w:val="single"/>
    </w:rPr>
  </w:style>
  <w:style w:type="character" w:customStyle="1" w:styleId="Heading4Char3">
    <w:name w:val="Heading 4 Char3"/>
    <w:basedOn w:val="DefaultParagraphFont"/>
    <w:uiPriority w:val="9"/>
    <w:semiHidden/>
    <w:rsid w:val="006F646F"/>
    <w:rPr>
      <w:rFonts w:asciiTheme="majorHAnsi" w:eastAsiaTheme="majorEastAsia" w:hAnsiTheme="majorHAnsi" w:cstheme="majorBidi"/>
      <w:i/>
      <w:iCs/>
      <w:color w:val="2F5496" w:themeColor="accent1" w:themeShade="BF"/>
    </w:rPr>
  </w:style>
  <w:style w:type="character" w:customStyle="1" w:styleId="Heading5Char3">
    <w:name w:val="Heading 5 Char3"/>
    <w:basedOn w:val="DefaultParagraphFont"/>
    <w:uiPriority w:val="9"/>
    <w:semiHidden/>
    <w:rsid w:val="006F646F"/>
    <w:rPr>
      <w:rFonts w:asciiTheme="majorHAnsi" w:eastAsiaTheme="majorEastAsia" w:hAnsiTheme="majorHAnsi" w:cstheme="majorBidi"/>
      <w:color w:val="2F5496" w:themeColor="accent1" w:themeShade="BF"/>
    </w:rPr>
  </w:style>
  <w:style w:type="character" w:customStyle="1" w:styleId="Heading6Char3">
    <w:name w:val="Heading 6 Char3"/>
    <w:basedOn w:val="DefaultParagraphFont"/>
    <w:uiPriority w:val="9"/>
    <w:semiHidden/>
    <w:rsid w:val="006F646F"/>
    <w:rPr>
      <w:rFonts w:asciiTheme="majorHAnsi" w:eastAsiaTheme="majorEastAsia" w:hAnsiTheme="majorHAnsi" w:cstheme="majorBidi"/>
      <w:color w:val="1F3763" w:themeColor="accent1" w:themeShade="7F"/>
    </w:rPr>
  </w:style>
  <w:style w:type="character" w:customStyle="1" w:styleId="Heading7Char3">
    <w:name w:val="Heading 7 Char3"/>
    <w:basedOn w:val="DefaultParagraphFont"/>
    <w:uiPriority w:val="9"/>
    <w:semiHidden/>
    <w:rsid w:val="006F646F"/>
    <w:rPr>
      <w:rFonts w:asciiTheme="majorHAnsi" w:eastAsiaTheme="majorEastAsia" w:hAnsiTheme="majorHAnsi" w:cstheme="majorBidi"/>
      <w:i/>
      <w:iCs/>
      <w:color w:val="1F3763" w:themeColor="accent1" w:themeShade="7F"/>
    </w:rPr>
  </w:style>
  <w:style w:type="character" w:customStyle="1" w:styleId="Heading8Char3">
    <w:name w:val="Heading 8 Char3"/>
    <w:basedOn w:val="DefaultParagraphFont"/>
    <w:uiPriority w:val="9"/>
    <w:semiHidden/>
    <w:rsid w:val="006F646F"/>
    <w:rPr>
      <w:rFonts w:asciiTheme="majorHAnsi" w:eastAsiaTheme="majorEastAsia" w:hAnsiTheme="majorHAnsi" w:cstheme="majorBidi"/>
      <w:color w:val="272727" w:themeColor="text1" w:themeTint="D8"/>
      <w:sz w:val="21"/>
      <w:szCs w:val="21"/>
    </w:rPr>
  </w:style>
  <w:style w:type="character" w:customStyle="1" w:styleId="Heading9Char3">
    <w:name w:val="Heading 9 Char3"/>
    <w:basedOn w:val="DefaultParagraphFont"/>
    <w:uiPriority w:val="9"/>
    <w:semiHidden/>
    <w:rsid w:val="006F646F"/>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6F646F"/>
    <w:pPr>
      <w:spacing w:after="0" w:line="240" w:lineRule="auto"/>
      <w:contextualSpacing/>
    </w:pPr>
    <w:rPr>
      <w:rFonts w:ascii="Calibri Light" w:eastAsia="MS Gothic" w:hAnsi="Calibri Light" w:cs="Times New Roman"/>
      <w:caps/>
      <w:color w:val="404040"/>
      <w:spacing w:val="-10"/>
      <w:sz w:val="72"/>
      <w:szCs w:val="72"/>
    </w:rPr>
  </w:style>
  <w:style w:type="character" w:customStyle="1" w:styleId="TitleChar3">
    <w:name w:val="Title Char3"/>
    <w:basedOn w:val="DefaultParagraphFont"/>
    <w:uiPriority w:val="10"/>
    <w:rsid w:val="006F646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F646F"/>
    <w:pPr>
      <w:numPr>
        <w:ilvl w:val="1"/>
      </w:numPr>
    </w:pPr>
    <w:rPr>
      <w:rFonts w:ascii="Calibri Light" w:eastAsia="MS Gothic" w:hAnsi="Calibri Light" w:cs="Times New Roman"/>
      <w:smallCaps/>
      <w:color w:val="595959"/>
      <w:sz w:val="28"/>
      <w:szCs w:val="28"/>
    </w:rPr>
  </w:style>
  <w:style w:type="character" w:customStyle="1" w:styleId="SubtitleChar3">
    <w:name w:val="Subtitle Char3"/>
    <w:basedOn w:val="DefaultParagraphFont"/>
    <w:uiPriority w:val="11"/>
    <w:rsid w:val="006F646F"/>
    <w:rPr>
      <w:rFonts w:eastAsiaTheme="minorEastAsia"/>
      <w:color w:val="5A5A5A" w:themeColor="text1" w:themeTint="A5"/>
      <w:spacing w:val="15"/>
    </w:rPr>
  </w:style>
  <w:style w:type="paragraph" w:styleId="Quote">
    <w:name w:val="Quote"/>
    <w:basedOn w:val="Normal"/>
    <w:next w:val="Normal"/>
    <w:link w:val="QuoteChar"/>
    <w:uiPriority w:val="29"/>
    <w:qFormat/>
    <w:rsid w:val="006F646F"/>
    <w:pPr>
      <w:spacing w:before="200"/>
      <w:ind w:left="864" w:right="864"/>
      <w:jc w:val="center"/>
    </w:pPr>
    <w:rPr>
      <w:rFonts w:ascii="Calibri Light" w:eastAsia="MS Gothic" w:hAnsi="Calibri Light" w:cs="Times New Roman"/>
      <w:sz w:val="25"/>
      <w:szCs w:val="25"/>
    </w:rPr>
  </w:style>
  <w:style w:type="character" w:customStyle="1" w:styleId="QuoteChar3">
    <w:name w:val="Quote Char3"/>
    <w:basedOn w:val="DefaultParagraphFont"/>
    <w:uiPriority w:val="29"/>
    <w:rsid w:val="006F646F"/>
    <w:rPr>
      <w:i/>
      <w:iCs/>
      <w:color w:val="404040" w:themeColor="text1" w:themeTint="BF"/>
    </w:rPr>
  </w:style>
  <w:style w:type="paragraph" w:styleId="IntenseQuote">
    <w:name w:val="Intense Quote"/>
    <w:basedOn w:val="Normal"/>
    <w:next w:val="Normal"/>
    <w:link w:val="IntenseQuoteChar"/>
    <w:uiPriority w:val="30"/>
    <w:qFormat/>
    <w:rsid w:val="006F646F"/>
    <w:pPr>
      <w:pBdr>
        <w:top w:val="single" w:sz="4" w:space="10" w:color="4472C4" w:themeColor="accent1"/>
        <w:bottom w:val="single" w:sz="4" w:space="10" w:color="4472C4" w:themeColor="accent1"/>
      </w:pBdr>
      <w:spacing w:before="360" w:after="360"/>
      <w:ind w:left="864" w:right="864"/>
      <w:jc w:val="center"/>
    </w:pPr>
    <w:rPr>
      <w:rFonts w:ascii="Calibri" w:eastAsia="MS Mincho" w:hAnsi="Calibri"/>
      <w:color w:val="404040"/>
      <w:sz w:val="32"/>
      <w:szCs w:val="32"/>
    </w:rPr>
  </w:style>
  <w:style w:type="character" w:customStyle="1" w:styleId="IntenseQuoteChar3">
    <w:name w:val="Intense Quote Char3"/>
    <w:basedOn w:val="DefaultParagraphFont"/>
    <w:uiPriority w:val="30"/>
    <w:rsid w:val="006F646F"/>
    <w:rPr>
      <w:i/>
      <w:iCs/>
      <w:color w:val="4472C4" w:themeColor="accent1"/>
    </w:rPr>
  </w:style>
  <w:style w:type="character" w:styleId="SubtleEmphasis">
    <w:name w:val="Subtle Emphasis"/>
    <w:basedOn w:val="DefaultParagraphFont"/>
    <w:uiPriority w:val="19"/>
    <w:qFormat/>
    <w:rsid w:val="006F646F"/>
    <w:rPr>
      <w:i/>
      <w:iCs/>
      <w:color w:val="404040" w:themeColor="text1" w:themeTint="BF"/>
    </w:rPr>
  </w:style>
  <w:style w:type="character" w:styleId="SubtleReference">
    <w:name w:val="Subtle Reference"/>
    <w:basedOn w:val="DefaultParagraphFont"/>
    <w:uiPriority w:val="31"/>
    <w:qFormat/>
    <w:rsid w:val="006F646F"/>
    <w:rPr>
      <w:smallCaps/>
      <w:color w:val="5A5A5A" w:themeColor="text1" w:themeTint="A5"/>
    </w:rPr>
  </w:style>
  <w:style w:type="table" w:styleId="GridTable7Colorful-Accent4">
    <w:name w:val="Grid Table 7 Colorful Accent 4"/>
    <w:basedOn w:val="TableNormal"/>
    <w:uiPriority w:val="52"/>
    <w:rsid w:val="006F646F"/>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numbering" w:customStyle="1" w:styleId="NoList6">
    <w:name w:val="No List6"/>
    <w:next w:val="NoList"/>
    <w:uiPriority w:val="99"/>
    <w:semiHidden/>
    <w:unhideWhenUsed/>
    <w:rsid w:val="006F646F"/>
  </w:style>
  <w:style w:type="paragraph" w:customStyle="1" w:styleId="TOCHeading2">
    <w:name w:val="TOC Heading2"/>
    <w:basedOn w:val="Heading1"/>
    <w:next w:val="Normal"/>
    <w:uiPriority w:val="39"/>
    <w:unhideWhenUsed/>
    <w:qFormat/>
    <w:rsid w:val="006F646F"/>
    <w:pPr>
      <w:outlineLvl w:val="9"/>
    </w:pPr>
  </w:style>
  <w:style w:type="numbering" w:customStyle="1" w:styleId="ImportedStyle15">
    <w:name w:val="Imported Style 15"/>
    <w:rsid w:val="006F646F"/>
    <w:pPr>
      <w:numPr>
        <w:numId w:val="2"/>
      </w:numPr>
    </w:pPr>
  </w:style>
  <w:style w:type="numbering" w:customStyle="1" w:styleId="CurrentList12">
    <w:name w:val="Current List12"/>
    <w:uiPriority w:val="99"/>
    <w:rsid w:val="006F646F"/>
    <w:pPr>
      <w:numPr>
        <w:numId w:val="5"/>
      </w:numPr>
    </w:pPr>
  </w:style>
  <w:style w:type="paragraph" w:customStyle="1" w:styleId="TOC42">
    <w:name w:val="TOC 42"/>
    <w:basedOn w:val="Normal"/>
    <w:next w:val="Normal"/>
    <w:autoRedefine/>
    <w:uiPriority w:val="39"/>
    <w:unhideWhenUsed/>
    <w:rsid w:val="006F646F"/>
    <w:pPr>
      <w:ind w:left="720"/>
    </w:pPr>
    <w:rPr>
      <w:rFonts w:eastAsia="MS Mincho" w:cs="Calibri"/>
      <w:sz w:val="20"/>
      <w:szCs w:val="20"/>
    </w:rPr>
  </w:style>
  <w:style w:type="paragraph" w:customStyle="1" w:styleId="TOC52">
    <w:name w:val="TOC 52"/>
    <w:basedOn w:val="Normal"/>
    <w:next w:val="Normal"/>
    <w:autoRedefine/>
    <w:uiPriority w:val="39"/>
    <w:unhideWhenUsed/>
    <w:rsid w:val="006F646F"/>
    <w:pPr>
      <w:ind w:left="960"/>
    </w:pPr>
    <w:rPr>
      <w:rFonts w:eastAsia="MS Mincho" w:cs="Calibri"/>
      <w:sz w:val="20"/>
      <w:szCs w:val="20"/>
    </w:rPr>
  </w:style>
  <w:style w:type="paragraph" w:customStyle="1" w:styleId="TOC62">
    <w:name w:val="TOC 62"/>
    <w:basedOn w:val="Normal"/>
    <w:next w:val="Normal"/>
    <w:autoRedefine/>
    <w:uiPriority w:val="39"/>
    <w:unhideWhenUsed/>
    <w:rsid w:val="006F646F"/>
    <w:pPr>
      <w:ind w:left="1200"/>
    </w:pPr>
    <w:rPr>
      <w:rFonts w:eastAsia="MS Mincho" w:cs="Calibri"/>
      <w:sz w:val="20"/>
      <w:szCs w:val="20"/>
    </w:rPr>
  </w:style>
  <w:style w:type="paragraph" w:customStyle="1" w:styleId="TOC72">
    <w:name w:val="TOC 72"/>
    <w:basedOn w:val="Normal"/>
    <w:next w:val="Normal"/>
    <w:autoRedefine/>
    <w:uiPriority w:val="39"/>
    <w:unhideWhenUsed/>
    <w:rsid w:val="006F646F"/>
    <w:pPr>
      <w:ind w:left="1440"/>
    </w:pPr>
    <w:rPr>
      <w:rFonts w:eastAsia="MS Mincho" w:cs="Calibri"/>
      <w:sz w:val="20"/>
      <w:szCs w:val="20"/>
    </w:rPr>
  </w:style>
  <w:style w:type="paragraph" w:customStyle="1" w:styleId="TOC82">
    <w:name w:val="TOC 82"/>
    <w:basedOn w:val="Normal"/>
    <w:next w:val="Normal"/>
    <w:autoRedefine/>
    <w:uiPriority w:val="39"/>
    <w:unhideWhenUsed/>
    <w:rsid w:val="006F646F"/>
    <w:pPr>
      <w:ind w:left="1680"/>
    </w:pPr>
    <w:rPr>
      <w:rFonts w:eastAsia="MS Mincho" w:cs="Calibri"/>
      <w:sz w:val="20"/>
      <w:szCs w:val="20"/>
    </w:rPr>
  </w:style>
  <w:style w:type="paragraph" w:customStyle="1" w:styleId="TOC92">
    <w:name w:val="TOC 92"/>
    <w:basedOn w:val="Normal"/>
    <w:next w:val="Normal"/>
    <w:autoRedefine/>
    <w:uiPriority w:val="39"/>
    <w:unhideWhenUsed/>
    <w:rsid w:val="006F646F"/>
    <w:pPr>
      <w:ind w:left="1920"/>
    </w:pPr>
    <w:rPr>
      <w:rFonts w:eastAsia="MS Mincho" w:cs="Calibri"/>
      <w:sz w:val="20"/>
      <w:szCs w:val="20"/>
    </w:rPr>
  </w:style>
  <w:style w:type="numbering" w:customStyle="1" w:styleId="ImportedStyle24">
    <w:name w:val="Imported Style 24"/>
    <w:rsid w:val="006F646F"/>
    <w:pPr>
      <w:numPr>
        <w:numId w:val="8"/>
      </w:numPr>
    </w:pPr>
  </w:style>
  <w:style w:type="numbering" w:customStyle="1" w:styleId="ImportedStyle104">
    <w:name w:val="Imported Style 104"/>
    <w:rsid w:val="006F646F"/>
    <w:pPr>
      <w:numPr>
        <w:numId w:val="23"/>
      </w:numPr>
    </w:pPr>
  </w:style>
  <w:style w:type="numbering" w:customStyle="1" w:styleId="Bullet4">
    <w:name w:val="Bullet4"/>
    <w:rsid w:val="006F646F"/>
    <w:pPr>
      <w:numPr>
        <w:numId w:val="9"/>
      </w:numPr>
    </w:pPr>
  </w:style>
  <w:style w:type="numbering" w:customStyle="1" w:styleId="ImportedStyle114">
    <w:name w:val="Imported Style 114"/>
    <w:rsid w:val="006F646F"/>
    <w:pPr>
      <w:numPr>
        <w:numId w:val="12"/>
      </w:numPr>
    </w:pPr>
  </w:style>
  <w:style w:type="numbering" w:customStyle="1" w:styleId="NoList13">
    <w:name w:val="No List13"/>
    <w:next w:val="NoList"/>
    <w:uiPriority w:val="99"/>
    <w:semiHidden/>
    <w:unhideWhenUsed/>
    <w:rsid w:val="006F646F"/>
  </w:style>
  <w:style w:type="numbering" w:customStyle="1" w:styleId="ImportedStyle212">
    <w:name w:val="Imported Style 212"/>
    <w:rsid w:val="006F646F"/>
  </w:style>
  <w:style w:type="numbering" w:customStyle="1" w:styleId="ImportedStyle1012">
    <w:name w:val="Imported Style 1012"/>
    <w:rsid w:val="006F646F"/>
  </w:style>
  <w:style w:type="numbering" w:customStyle="1" w:styleId="ImportedStyle122">
    <w:name w:val="Imported Style 122"/>
    <w:rsid w:val="006F646F"/>
    <w:pPr>
      <w:numPr>
        <w:numId w:val="14"/>
      </w:numPr>
    </w:pPr>
  </w:style>
  <w:style w:type="numbering" w:customStyle="1" w:styleId="Bullet12">
    <w:name w:val="Bullet12"/>
    <w:rsid w:val="006F646F"/>
  </w:style>
  <w:style w:type="numbering" w:customStyle="1" w:styleId="ImportedStyle1112">
    <w:name w:val="Imported Style 1112"/>
    <w:rsid w:val="006F646F"/>
  </w:style>
  <w:style w:type="numbering" w:customStyle="1" w:styleId="NoList22">
    <w:name w:val="No List22"/>
    <w:next w:val="NoList"/>
    <w:uiPriority w:val="99"/>
    <w:semiHidden/>
    <w:unhideWhenUsed/>
    <w:rsid w:val="006F646F"/>
  </w:style>
  <w:style w:type="numbering" w:customStyle="1" w:styleId="NoList32">
    <w:name w:val="No List32"/>
    <w:next w:val="NoList"/>
    <w:uiPriority w:val="99"/>
    <w:semiHidden/>
    <w:unhideWhenUsed/>
    <w:rsid w:val="006F646F"/>
  </w:style>
  <w:style w:type="numbering" w:customStyle="1" w:styleId="NoList42">
    <w:name w:val="No List42"/>
    <w:next w:val="NoList"/>
    <w:uiPriority w:val="99"/>
    <w:semiHidden/>
    <w:unhideWhenUsed/>
    <w:rsid w:val="006F646F"/>
  </w:style>
  <w:style w:type="numbering" w:customStyle="1" w:styleId="ImportedStyle222">
    <w:name w:val="Imported Style 222"/>
    <w:rsid w:val="006F646F"/>
  </w:style>
  <w:style w:type="numbering" w:customStyle="1" w:styleId="ImportedStyle1022">
    <w:name w:val="Imported Style 1022"/>
    <w:rsid w:val="006F646F"/>
  </w:style>
  <w:style w:type="numbering" w:customStyle="1" w:styleId="ImportedStyle132">
    <w:name w:val="Imported Style 132"/>
    <w:rsid w:val="006F646F"/>
  </w:style>
  <w:style w:type="numbering" w:customStyle="1" w:styleId="Bullet22">
    <w:name w:val="Bullet22"/>
    <w:rsid w:val="006F646F"/>
  </w:style>
  <w:style w:type="numbering" w:customStyle="1" w:styleId="ImportedStyle1122">
    <w:name w:val="Imported Style 1122"/>
    <w:rsid w:val="006F646F"/>
  </w:style>
  <w:style w:type="numbering" w:customStyle="1" w:styleId="ImportedStyle192">
    <w:name w:val="Imported Style 192"/>
    <w:rsid w:val="006F646F"/>
  </w:style>
  <w:style w:type="numbering" w:customStyle="1" w:styleId="ImportedStyle62">
    <w:name w:val="Imported Style 62"/>
    <w:rsid w:val="006F646F"/>
  </w:style>
  <w:style w:type="numbering" w:customStyle="1" w:styleId="ImportedStyle1102">
    <w:name w:val="Imported Style 11.02"/>
    <w:autoRedefine/>
    <w:rsid w:val="006F646F"/>
  </w:style>
  <w:style w:type="numbering" w:customStyle="1" w:styleId="NoList112">
    <w:name w:val="No List112"/>
    <w:next w:val="NoList"/>
    <w:uiPriority w:val="99"/>
    <w:semiHidden/>
    <w:unhideWhenUsed/>
    <w:rsid w:val="006F646F"/>
  </w:style>
  <w:style w:type="table" w:customStyle="1" w:styleId="GridTable7Colorful-Accent42">
    <w:name w:val="Grid Table 7 Colorful - Accent 42"/>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numbering" w:customStyle="1" w:styleId="NoList51">
    <w:name w:val="No List51"/>
    <w:next w:val="NoList"/>
    <w:uiPriority w:val="99"/>
    <w:semiHidden/>
    <w:unhideWhenUsed/>
    <w:rsid w:val="006F646F"/>
  </w:style>
  <w:style w:type="numbering" w:customStyle="1" w:styleId="ImportedStyle141">
    <w:name w:val="Imported Style 141"/>
    <w:rsid w:val="006F646F"/>
  </w:style>
  <w:style w:type="numbering" w:customStyle="1" w:styleId="CurrentList111">
    <w:name w:val="Current List111"/>
    <w:uiPriority w:val="99"/>
    <w:rsid w:val="006F646F"/>
  </w:style>
  <w:style w:type="numbering" w:customStyle="1" w:styleId="ImportedStyle231">
    <w:name w:val="Imported Style 231"/>
    <w:rsid w:val="006F646F"/>
  </w:style>
  <w:style w:type="numbering" w:customStyle="1" w:styleId="ImportedStyle1031">
    <w:name w:val="Imported Style 1031"/>
    <w:rsid w:val="006F646F"/>
  </w:style>
  <w:style w:type="numbering" w:customStyle="1" w:styleId="Bullet31">
    <w:name w:val="Bullet31"/>
    <w:rsid w:val="006F646F"/>
  </w:style>
  <w:style w:type="numbering" w:customStyle="1" w:styleId="ImportedStyle1131">
    <w:name w:val="Imported Style 1131"/>
    <w:rsid w:val="006F646F"/>
  </w:style>
  <w:style w:type="numbering" w:customStyle="1" w:styleId="NoList121">
    <w:name w:val="No List121"/>
    <w:next w:val="NoList"/>
    <w:uiPriority w:val="99"/>
    <w:semiHidden/>
    <w:unhideWhenUsed/>
    <w:rsid w:val="006F646F"/>
  </w:style>
  <w:style w:type="numbering" w:customStyle="1" w:styleId="ImportedStyle2111">
    <w:name w:val="Imported Style 2111"/>
    <w:rsid w:val="006F646F"/>
  </w:style>
  <w:style w:type="numbering" w:customStyle="1" w:styleId="ImportedStyle10111">
    <w:name w:val="Imported Style 10111"/>
    <w:rsid w:val="006F646F"/>
  </w:style>
  <w:style w:type="numbering" w:customStyle="1" w:styleId="ImportedStyle1211">
    <w:name w:val="Imported Style 1211"/>
    <w:rsid w:val="006F646F"/>
  </w:style>
  <w:style w:type="numbering" w:customStyle="1" w:styleId="Bullet111">
    <w:name w:val="Bullet111"/>
    <w:rsid w:val="006F646F"/>
  </w:style>
  <w:style w:type="numbering" w:customStyle="1" w:styleId="ImportedStyle11111">
    <w:name w:val="Imported Style 11111"/>
    <w:rsid w:val="006F646F"/>
  </w:style>
  <w:style w:type="numbering" w:customStyle="1" w:styleId="NoList211">
    <w:name w:val="No List211"/>
    <w:next w:val="NoList"/>
    <w:uiPriority w:val="99"/>
    <w:semiHidden/>
    <w:unhideWhenUsed/>
    <w:rsid w:val="006F646F"/>
  </w:style>
  <w:style w:type="numbering" w:customStyle="1" w:styleId="NoList311">
    <w:name w:val="No List311"/>
    <w:next w:val="NoList"/>
    <w:uiPriority w:val="99"/>
    <w:semiHidden/>
    <w:unhideWhenUsed/>
    <w:rsid w:val="006F646F"/>
  </w:style>
  <w:style w:type="numbering" w:customStyle="1" w:styleId="NoList411">
    <w:name w:val="No List411"/>
    <w:next w:val="NoList"/>
    <w:uiPriority w:val="99"/>
    <w:semiHidden/>
    <w:unhideWhenUsed/>
    <w:rsid w:val="006F646F"/>
  </w:style>
  <w:style w:type="numbering" w:customStyle="1" w:styleId="ImportedStyle2211">
    <w:name w:val="Imported Style 2211"/>
    <w:rsid w:val="006F646F"/>
  </w:style>
  <w:style w:type="numbering" w:customStyle="1" w:styleId="ImportedStyle10211">
    <w:name w:val="Imported Style 10211"/>
    <w:rsid w:val="006F646F"/>
  </w:style>
  <w:style w:type="numbering" w:customStyle="1" w:styleId="ImportedStyle1311">
    <w:name w:val="Imported Style 1311"/>
    <w:rsid w:val="006F646F"/>
  </w:style>
  <w:style w:type="numbering" w:customStyle="1" w:styleId="Bullet211">
    <w:name w:val="Bullet211"/>
    <w:rsid w:val="006F646F"/>
  </w:style>
  <w:style w:type="numbering" w:customStyle="1" w:styleId="ImportedStyle11211">
    <w:name w:val="Imported Style 11211"/>
    <w:rsid w:val="006F646F"/>
  </w:style>
  <w:style w:type="numbering" w:customStyle="1" w:styleId="ImportedStyle1911">
    <w:name w:val="Imported Style 1911"/>
    <w:rsid w:val="006F646F"/>
  </w:style>
  <w:style w:type="numbering" w:customStyle="1" w:styleId="ImportedStyle611">
    <w:name w:val="Imported Style 611"/>
    <w:rsid w:val="006F646F"/>
  </w:style>
  <w:style w:type="numbering" w:customStyle="1" w:styleId="ImportedStyle11011">
    <w:name w:val="Imported Style 11.011"/>
    <w:autoRedefine/>
    <w:rsid w:val="006F646F"/>
  </w:style>
  <w:style w:type="numbering" w:customStyle="1" w:styleId="NoList1112">
    <w:name w:val="No List1112"/>
    <w:next w:val="NoList"/>
    <w:uiPriority w:val="99"/>
    <w:semiHidden/>
    <w:unhideWhenUsed/>
    <w:rsid w:val="006F646F"/>
  </w:style>
  <w:style w:type="table" w:customStyle="1" w:styleId="GridTable7Colorful-Accent412">
    <w:name w:val="Grid Table 7 Colorful - Accent 412"/>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numbering" w:customStyle="1" w:styleId="NoList7">
    <w:name w:val="No List7"/>
    <w:next w:val="NoList"/>
    <w:uiPriority w:val="99"/>
    <w:semiHidden/>
    <w:unhideWhenUsed/>
    <w:rsid w:val="006F646F"/>
  </w:style>
  <w:style w:type="paragraph" w:customStyle="1" w:styleId="TOCHeading3">
    <w:name w:val="TOC Heading3"/>
    <w:basedOn w:val="Heading1"/>
    <w:next w:val="Normal"/>
    <w:uiPriority w:val="39"/>
    <w:unhideWhenUsed/>
    <w:qFormat/>
    <w:rsid w:val="006F646F"/>
    <w:pPr>
      <w:outlineLvl w:val="9"/>
    </w:pPr>
  </w:style>
  <w:style w:type="numbering" w:customStyle="1" w:styleId="ImportedStyle16">
    <w:name w:val="Imported Style 16"/>
    <w:rsid w:val="006F646F"/>
  </w:style>
  <w:style w:type="numbering" w:customStyle="1" w:styleId="CurrentList13">
    <w:name w:val="Current List13"/>
    <w:uiPriority w:val="99"/>
    <w:rsid w:val="006F646F"/>
  </w:style>
  <w:style w:type="paragraph" w:customStyle="1" w:styleId="TOC43">
    <w:name w:val="TOC 43"/>
    <w:basedOn w:val="Normal"/>
    <w:next w:val="Normal"/>
    <w:autoRedefine/>
    <w:uiPriority w:val="39"/>
    <w:unhideWhenUsed/>
    <w:rsid w:val="006F646F"/>
    <w:pPr>
      <w:ind w:left="720"/>
    </w:pPr>
    <w:rPr>
      <w:rFonts w:eastAsia="MS Mincho" w:cs="Calibri"/>
      <w:sz w:val="20"/>
      <w:szCs w:val="20"/>
    </w:rPr>
  </w:style>
  <w:style w:type="paragraph" w:customStyle="1" w:styleId="TOC53">
    <w:name w:val="TOC 53"/>
    <w:basedOn w:val="Normal"/>
    <w:next w:val="Normal"/>
    <w:autoRedefine/>
    <w:uiPriority w:val="39"/>
    <w:unhideWhenUsed/>
    <w:rsid w:val="006F646F"/>
    <w:pPr>
      <w:ind w:left="960"/>
    </w:pPr>
    <w:rPr>
      <w:rFonts w:eastAsia="MS Mincho" w:cs="Calibri"/>
      <w:sz w:val="20"/>
      <w:szCs w:val="20"/>
    </w:rPr>
  </w:style>
  <w:style w:type="paragraph" w:customStyle="1" w:styleId="TOC63">
    <w:name w:val="TOC 63"/>
    <w:basedOn w:val="Normal"/>
    <w:next w:val="Normal"/>
    <w:autoRedefine/>
    <w:uiPriority w:val="39"/>
    <w:unhideWhenUsed/>
    <w:rsid w:val="006F646F"/>
    <w:pPr>
      <w:ind w:left="1200"/>
    </w:pPr>
    <w:rPr>
      <w:rFonts w:eastAsia="MS Mincho" w:cs="Calibri"/>
      <w:sz w:val="20"/>
      <w:szCs w:val="20"/>
    </w:rPr>
  </w:style>
  <w:style w:type="paragraph" w:customStyle="1" w:styleId="TOC73">
    <w:name w:val="TOC 73"/>
    <w:basedOn w:val="Normal"/>
    <w:next w:val="Normal"/>
    <w:autoRedefine/>
    <w:uiPriority w:val="39"/>
    <w:unhideWhenUsed/>
    <w:rsid w:val="006F646F"/>
    <w:pPr>
      <w:ind w:left="1440"/>
    </w:pPr>
    <w:rPr>
      <w:rFonts w:eastAsia="MS Mincho" w:cs="Calibri"/>
      <w:sz w:val="20"/>
      <w:szCs w:val="20"/>
    </w:rPr>
  </w:style>
  <w:style w:type="paragraph" w:customStyle="1" w:styleId="TOC83">
    <w:name w:val="TOC 83"/>
    <w:basedOn w:val="Normal"/>
    <w:next w:val="Normal"/>
    <w:autoRedefine/>
    <w:uiPriority w:val="39"/>
    <w:unhideWhenUsed/>
    <w:rsid w:val="006F646F"/>
    <w:pPr>
      <w:ind w:left="1680"/>
    </w:pPr>
    <w:rPr>
      <w:rFonts w:eastAsia="MS Mincho" w:cs="Calibri"/>
      <w:sz w:val="20"/>
      <w:szCs w:val="20"/>
    </w:rPr>
  </w:style>
  <w:style w:type="paragraph" w:customStyle="1" w:styleId="TOC93">
    <w:name w:val="TOC 93"/>
    <w:basedOn w:val="Normal"/>
    <w:next w:val="Normal"/>
    <w:autoRedefine/>
    <w:uiPriority w:val="39"/>
    <w:unhideWhenUsed/>
    <w:rsid w:val="006F646F"/>
    <w:pPr>
      <w:ind w:left="1920"/>
    </w:pPr>
    <w:rPr>
      <w:rFonts w:eastAsia="MS Mincho" w:cs="Calibri"/>
      <w:sz w:val="20"/>
      <w:szCs w:val="20"/>
    </w:rPr>
  </w:style>
  <w:style w:type="numbering" w:customStyle="1" w:styleId="ImportedStyle25">
    <w:name w:val="Imported Style 25"/>
    <w:rsid w:val="006F646F"/>
  </w:style>
  <w:style w:type="numbering" w:customStyle="1" w:styleId="ImportedStyle105">
    <w:name w:val="Imported Style 105"/>
    <w:rsid w:val="006F646F"/>
  </w:style>
  <w:style w:type="numbering" w:customStyle="1" w:styleId="Bullet5">
    <w:name w:val="Bullet5"/>
    <w:rsid w:val="006F646F"/>
  </w:style>
  <w:style w:type="numbering" w:customStyle="1" w:styleId="ImportedStyle115">
    <w:name w:val="Imported Style 115"/>
    <w:rsid w:val="006F646F"/>
  </w:style>
  <w:style w:type="numbering" w:customStyle="1" w:styleId="NoList14">
    <w:name w:val="No List14"/>
    <w:next w:val="NoList"/>
    <w:uiPriority w:val="99"/>
    <w:semiHidden/>
    <w:unhideWhenUsed/>
    <w:rsid w:val="006F646F"/>
  </w:style>
  <w:style w:type="numbering" w:customStyle="1" w:styleId="ImportedStyle213">
    <w:name w:val="Imported Style 213"/>
    <w:rsid w:val="006F646F"/>
  </w:style>
  <w:style w:type="numbering" w:customStyle="1" w:styleId="ImportedStyle1013">
    <w:name w:val="Imported Style 1013"/>
    <w:rsid w:val="006F646F"/>
  </w:style>
  <w:style w:type="numbering" w:customStyle="1" w:styleId="ImportedStyle123">
    <w:name w:val="Imported Style 123"/>
    <w:rsid w:val="006F646F"/>
  </w:style>
  <w:style w:type="numbering" w:customStyle="1" w:styleId="Bullet13">
    <w:name w:val="Bullet13"/>
    <w:rsid w:val="006F646F"/>
  </w:style>
  <w:style w:type="numbering" w:customStyle="1" w:styleId="ImportedStyle1113">
    <w:name w:val="Imported Style 1113"/>
    <w:rsid w:val="006F646F"/>
  </w:style>
  <w:style w:type="numbering" w:customStyle="1" w:styleId="NoList23">
    <w:name w:val="No List23"/>
    <w:next w:val="NoList"/>
    <w:uiPriority w:val="99"/>
    <w:semiHidden/>
    <w:unhideWhenUsed/>
    <w:rsid w:val="006F646F"/>
  </w:style>
  <w:style w:type="numbering" w:customStyle="1" w:styleId="NoList33">
    <w:name w:val="No List33"/>
    <w:next w:val="NoList"/>
    <w:uiPriority w:val="99"/>
    <w:semiHidden/>
    <w:unhideWhenUsed/>
    <w:rsid w:val="006F646F"/>
  </w:style>
  <w:style w:type="numbering" w:customStyle="1" w:styleId="NoList43">
    <w:name w:val="No List43"/>
    <w:next w:val="NoList"/>
    <w:uiPriority w:val="99"/>
    <w:semiHidden/>
    <w:unhideWhenUsed/>
    <w:rsid w:val="006F646F"/>
  </w:style>
  <w:style w:type="numbering" w:customStyle="1" w:styleId="ImportedStyle223">
    <w:name w:val="Imported Style 223"/>
    <w:rsid w:val="006F646F"/>
  </w:style>
  <w:style w:type="numbering" w:customStyle="1" w:styleId="ImportedStyle1023">
    <w:name w:val="Imported Style 1023"/>
    <w:rsid w:val="006F646F"/>
  </w:style>
  <w:style w:type="numbering" w:customStyle="1" w:styleId="ImportedStyle133">
    <w:name w:val="Imported Style 133"/>
    <w:rsid w:val="006F646F"/>
  </w:style>
  <w:style w:type="numbering" w:customStyle="1" w:styleId="Bullet23">
    <w:name w:val="Bullet23"/>
    <w:rsid w:val="006F646F"/>
  </w:style>
  <w:style w:type="numbering" w:customStyle="1" w:styleId="ImportedStyle1123">
    <w:name w:val="Imported Style 1123"/>
    <w:rsid w:val="006F646F"/>
  </w:style>
  <w:style w:type="numbering" w:customStyle="1" w:styleId="ImportedStyle193">
    <w:name w:val="Imported Style 193"/>
    <w:rsid w:val="006F646F"/>
  </w:style>
  <w:style w:type="numbering" w:customStyle="1" w:styleId="ImportedStyle63">
    <w:name w:val="Imported Style 63"/>
    <w:rsid w:val="006F646F"/>
  </w:style>
  <w:style w:type="numbering" w:customStyle="1" w:styleId="ImportedStyle1103">
    <w:name w:val="Imported Style 11.03"/>
    <w:autoRedefine/>
    <w:rsid w:val="006F646F"/>
  </w:style>
  <w:style w:type="numbering" w:customStyle="1" w:styleId="NoList113">
    <w:name w:val="No List113"/>
    <w:next w:val="NoList"/>
    <w:uiPriority w:val="99"/>
    <w:semiHidden/>
    <w:unhideWhenUsed/>
    <w:rsid w:val="006F646F"/>
  </w:style>
  <w:style w:type="table" w:customStyle="1" w:styleId="GridTable7Colorful-Accent43">
    <w:name w:val="Grid Table 7 Colorful - Accent 43"/>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numbering" w:customStyle="1" w:styleId="NoList52">
    <w:name w:val="No List52"/>
    <w:next w:val="NoList"/>
    <w:uiPriority w:val="99"/>
    <w:semiHidden/>
    <w:unhideWhenUsed/>
    <w:rsid w:val="006F646F"/>
  </w:style>
  <w:style w:type="numbering" w:customStyle="1" w:styleId="ImportedStyle142">
    <w:name w:val="Imported Style 142"/>
    <w:rsid w:val="006F646F"/>
  </w:style>
  <w:style w:type="numbering" w:customStyle="1" w:styleId="CurrentList112">
    <w:name w:val="Current List112"/>
    <w:uiPriority w:val="99"/>
    <w:rsid w:val="006F646F"/>
  </w:style>
  <w:style w:type="numbering" w:customStyle="1" w:styleId="ImportedStyle232">
    <w:name w:val="Imported Style 232"/>
    <w:rsid w:val="006F646F"/>
  </w:style>
  <w:style w:type="numbering" w:customStyle="1" w:styleId="ImportedStyle1032">
    <w:name w:val="Imported Style 1032"/>
    <w:rsid w:val="006F646F"/>
  </w:style>
  <w:style w:type="numbering" w:customStyle="1" w:styleId="Bullet32">
    <w:name w:val="Bullet32"/>
    <w:rsid w:val="006F646F"/>
  </w:style>
  <w:style w:type="numbering" w:customStyle="1" w:styleId="ImportedStyle1132">
    <w:name w:val="Imported Style 1132"/>
    <w:rsid w:val="006F646F"/>
  </w:style>
  <w:style w:type="numbering" w:customStyle="1" w:styleId="NoList122">
    <w:name w:val="No List122"/>
    <w:next w:val="NoList"/>
    <w:uiPriority w:val="99"/>
    <w:semiHidden/>
    <w:unhideWhenUsed/>
    <w:rsid w:val="006F646F"/>
  </w:style>
  <w:style w:type="numbering" w:customStyle="1" w:styleId="ImportedStyle2112">
    <w:name w:val="Imported Style 2112"/>
    <w:rsid w:val="006F646F"/>
  </w:style>
  <w:style w:type="numbering" w:customStyle="1" w:styleId="ImportedStyle10112">
    <w:name w:val="Imported Style 10112"/>
    <w:rsid w:val="006F646F"/>
  </w:style>
  <w:style w:type="numbering" w:customStyle="1" w:styleId="ImportedStyle1212">
    <w:name w:val="Imported Style 1212"/>
    <w:rsid w:val="006F646F"/>
  </w:style>
  <w:style w:type="numbering" w:customStyle="1" w:styleId="Bullet112">
    <w:name w:val="Bullet112"/>
    <w:rsid w:val="006F646F"/>
  </w:style>
  <w:style w:type="numbering" w:customStyle="1" w:styleId="ImportedStyle11112">
    <w:name w:val="Imported Style 11112"/>
    <w:rsid w:val="006F646F"/>
  </w:style>
  <w:style w:type="numbering" w:customStyle="1" w:styleId="NoList212">
    <w:name w:val="No List212"/>
    <w:next w:val="NoList"/>
    <w:uiPriority w:val="99"/>
    <w:semiHidden/>
    <w:unhideWhenUsed/>
    <w:rsid w:val="006F646F"/>
  </w:style>
  <w:style w:type="numbering" w:customStyle="1" w:styleId="NoList312">
    <w:name w:val="No List312"/>
    <w:next w:val="NoList"/>
    <w:uiPriority w:val="99"/>
    <w:semiHidden/>
    <w:unhideWhenUsed/>
    <w:rsid w:val="006F646F"/>
  </w:style>
  <w:style w:type="numbering" w:customStyle="1" w:styleId="NoList412">
    <w:name w:val="No List412"/>
    <w:next w:val="NoList"/>
    <w:uiPriority w:val="99"/>
    <w:semiHidden/>
    <w:unhideWhenUsed/>
    <w:rsid w:val="006F646F"/>
  </w:style>
  <w:style w:type="numbering" w:customStyle="1" w:styleId="ImportedStyle2212">
    <w:name w:val="Imported Style 2212"/>
    <w:rsid w:val="006F646F"/>
  </w:style>
  <w:style w:type="numbering" w:customStyle="1" w:styleId="ImportedStyle10212">
    <w:name w:val="Imported Style 10212"/>
    <w:rsid w:val="006F646F"/>
  </w:style>
  <w:style w:type="numbering" w:customStyle="1" w:styleId="ImportedStyle1312">
    <w:name w:val="Imported Style 1312"/>
    <w:rsid w:val="006F646F"/>
  </w:style>
  <w:style w:type="numbering" w:customStyle="1" w:styleId="Bullet212">
    <w:name w:val="Bullet212"/>
    <w:rsid w:val="006F646F"/>
  </w:style>
  <w:style w:type="numbering" w:customStyle="1" w:styleId="ImportedStyle11212">
    <w:name w:val="Imported Style 11212"/>
    <w:rsid w:val="006F646F"/>
  </w:style>
  <w:style w:type="numbering" w:customStyle="1" w:styleId="ImportedStyle1912">
    <w:name w:val="Imported Style 1912"/>
    <w:rsid w:val="006F646F"/>
  </w:style>
  <w:style w:type="numbering" w:customStyle="1" w:styleId="ImportedStyle612">
    <w:name w:val="Imported Style 612"/>
    <w:rsid w:val="006F646F"/>
  </w:style>
  <w:style w:type="numbering" w:customStyle="1" w:styleId="ImportedStyle11012">
    <w:name w:val="Imported Style 11.012"/>
    <w:autoRedefine/>
    <w:rsid w:val="006F646F"/>
  </w:style>
  <w:style w:type="numbering" w:customStyle="1" w:styleId="NoList1113">
    <w:name w:val="No List1113"/>
    <w:next w:val="NoList"/>
    <w:uiPriority w:val="99"/>
    <w:semiHidden/>
    <w:unhideWhenUsed/>
    <w:rsid w:val="006F646F"/>
  </w:style>
  <w:style w:type="table" w:customStyle="1" w:styleId="GridTable7Colorful-Accent413">
    <w:name w:val="Grid Table 7 Colorful - Accent 413"/>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numbering" w:customStyle="1" w:styleId="NoList8">
    <w:name w:val="No List8"/>
    <w:next w:val="NoList"/>
    <w:uiPriority w:val="99"/>
    <w:semiHidden/>
    <w:unhideWhenUsed/>
    <w:rsid w:val="006F646F"/>
  </w:style>
  <w:style w:type="paragraph" w:customStyle="1" w:styleId="TOCHeading4">
    <w:name w:val="TOC Heading4"/>
    <w:basedOn w:val="Heading1"/>
    <w:next w:val="Normal"/>
    <w:uiPriority w:val="39"/>
    <w:unhideWhenUsed/>
    <w:qFormat/>
    <w:rsid w:val="006F646F"/>
    <w:pPr>
      <w:outlineLvl w:val="9"/>
    </w:pPr>
  </w:style>
  <w:style w:type="numbering" w:customStyle="1" w:styleId="ImportedStyle17">
    <w:name w:val="Imported Style 17"/>
    <w:rsid w:val="006F646F"/>
  </w:style>
  <w:style w:type="numbering" w:customStyle="1" w:styleId="CurrentList14">
    <w:name w:val="Current List14"/>
    <w:uiPriority w:val="99"/>
    <w:rsid w:val="006F646F"/>
  </w:style>
  <w:style w:type="paragraph" w:customStyle="1" w:styleId="TOC44">
    <w:name w:val="TOC 44"/>
    <w:basedOn w:val="Normal"/>
    <w:next w:val="Normal"/>
    <w:autoRedefine/>
    <w:uiPriority w:val="39"/>
    <w:unhideWhenUsed/>
    <w:rsid w:val="006F646F"/>
    <w:pPr>
      <w:ind w:left="720"/>
    </w:pPr>
    <w:rPr>
      <w:rFonts w:eastAsia="MS Mincho" w:cs="Calibri"/>
      <w:sz w:val="20"/>
      <w:szCs w:val="20"/>
    </w:rPr>
  </w:style>
  <w:style w:type="paragraph" w:customStyle="1" w:styleId="TOC54">
    <w:name w:val="TOC 54"/>
    <w:basedOn w:val="Normal"/>
    <w:next w:val="Normal"/>
    <w:autoRedefine/>
    <w:uiPriority w:val="39"/>
    <w:unhideWhenUsed/>
    <w:rsid w:val="006F646F"/>
    <w:pPr>
      <w:ind w:left="960"/>
    </w:pPr>
    <w:rPr>
      <w:rFonts w:eastAsia="MS Mincho" w:cs="Calibri"/>
      <w:sz w:val="20"/>
      <w:szCs w:val="20"/>
    </w:rPr>
  </w:style>
  <w:style w:type="paragraph" w:customStyle="1" w:styleId="TOC64">
    <w:name w:val="TOC 64"/>
    <w:basedOn w:val="Normal"/>
    <w:next w:val="Normal"/>
    <w:autoRedefine/>
    <w:uiPriority w:val="39"/>
    <w:unhideWhenUsed/>
    <w:rsid w:val="006F646F"/>
    <w:pPr>
      <w:ind w:left="1200"/>
    </w:pPr>
    <w:rPr>
      <w:rFonts w:eastAsia="MS Mincho" w:cs="Calibri"/>
      <w:sz w:val="20"/>
      <w:szCs w:val="20"/>
    </w:rPr>
  </w:style>
  <w:style w:type="paragraph" w:customStyle="1" w:styleId="TOC74">
    <w:name w:val="TOC 74"/>
    <w:basedOn w:val="Normal"/>
    <w:next w:val="Normal"/>
    <w:autoRedefine/>
    <w:uiPriority w:val="39"/>
    <w:unhideWhenUsed/>
    <w:rsid w:val="006F646F"/>
    <w:pPr>
      <w:ind w:left="1440"/>
    </w:pPr>
    <w:rPr>
      <w:rFonts w:eastAsia="MS Mincho" w:cs="Calibri"/>
      <w:sz w:val="20"/>
      <w:szCs w:val="20"/>
    </w:rPr>
  </w:style>
  <w:style w:type="paragraph" w:customStyle="1" w:styleId="TOC84">
    <w:name w:val="TOC 84"/>
    <w:basedOn w:val="Normal"/>
    <w:next w:val="Normal"/>
    <w:autoRedefine/>
    <w:uiPriority w:val="39"/>
    <w:unhideWhenUsed/>
    <w:rsid w:val="006F646F"/>
    <w:pPr>
      <w:ind w:left="1680"/>
    </w:pPr>
    <w:rPr>
      <w:rFonts w:eastAsia="MS Mincho" w:cs="Calibri"/>
      <w:sz w:val="20"/>
      <w:szCs w:val="20"/>
    </w:rPr>
  </w:style>
  <w:style w:type="paragraph" w:customStyle="1" w:styleId="TOC94">
    <w:name w:val="TOC 94"/>
    <w:basedOn w:val="Normal"/>
    <w:next w:val="Normal"/>
    <w:autoRedefine/>
    <w:uiPriority w:val="39"/>
    <w:unhideWhenUsed/>
    <w:rsid w:val="006F646F"/>
    <w:pPr>
      <w:ind w:left="1920"/>
    </w:pPr>
    <w:rPr>
      <w:rFonts w:eastAsia="MS Mincho" w:cs="Calibri"/>
      <w:sz w:val="20"/>
      <w:szCs w:val="20"/>
    </w:rPr>
  </w:style>
  <w:style w:type="numbering" w:customStyle="1" w:styleId="ImportedStyle26">
    <w:name w:val="Imported Style 26"/>
    <w:rsid w:val="006F646F"/>
  </w:style>
  <w:style w:type="numbering" w:customStyle="1" w:styleId="ImportedStyle106">
    <w:name w:val="Imported Style 106"/>
    <w:rsid w:val="006F646F"/>
  </w:style>
  <w:style w:type="numbering" w:customStyle="1" w:styleId="Bullet6">
    <w:name w:val="Bullet6"/>
    <w:rsid w:val="006F646F"/>
  </w:style>
  <w:style w:type="numbering" w:customStyle="1" w:styleId="ImportedStyle116">
    <w:name w:val="Imported Style 116"/>
    <w:rsid w:val="006F646F"/>
  </w:style>
  <w:style w:type="numbering" w:customStyle="1" w:styleId="NoList15">
    <w:name w:val="No List15"/>
    <w:next w:val="NoList"/>
    <w:uiPriority w:val="99"/>
    <w:semiHidden/>
    <w:unhideWhenUsed/>
    <w:rsid w:val="006F646F"/>
  </w:style>
  <w:style w:type="numbering" w:customStyle="1" w:styleId="ImportedStyle214">
    <w:name w:val="Imported Style 214"/>
    <w:rsid w:val="006F646F"/>
  </w:style>
  <w:style w:type="numbering" w:customStyle="1" w:styleId="ImportedStyle1014">
    <w:name w:val="Imported Style 1014"/>
    <w:rsid w:val="006F646F"/>
  </w:style>
  <w:style w:type="numbering" w:customStyle="1" w:styleId="ImportedStyle124">
    <w:name w:val="Imported Style 124"/>
    <w:rsid w:val="006F646F"/>
  </w:style>
  <w:style w:type="numbering" w:customStyle="1" w:styleId="Bullet14">
    <w:name w:val="Bullet14"/>
    <w:rsid w:val="006F646F"/>
  </w:style>
  <w:style w:type="numbering" w:customStyle="1" w:styleId="ImportedStyle1114">
    <w:name w:val="Imported Style 1114"/>
    <w:rsid w:val="006F646F"/>
  </w:style>
  <w:style w:type="numbering" w:customStyle="1" w:styleId="NoList24">
    <w:name w:val="No List24"/>
    <w:next w:val="NoList"/>
    <w:uiPriority w:val="99"/>
    <w:semiHidden/>
    <w:unhideWhenUsed/>
    <w:rsid w:val="006F646F"/>
  </w:style>
  <w:style w:type="numbering" w:customStyle="1" w:styleId="NoList34">
    <w:name w:val="No List34"/>
    <w:next w:val="NoList"/>
    <w:uiPriority w:val="99"/>
    <w:semiHidden/>
    <w:unhideWhenUsed/>
    <w:rsid w:val="006F646F"/>
  </w:style>
  <w:style w:type="numbering" w:customStyle="1" w:styleId="NoList44">
    <w:name w:val="No List44"/>
    <w:next w:val="NoList"/>
    <w:uiPriority w:val="99"/>
    <w:semiHidden/>
    <w:unhideWhenUsed/>
    <w:rsid w:val="006F646F"/>
  </w:style>
  <w:style w:type="numbering" w:customStyle="1" w:styleId="ImportedStyle224">
    <w:name w:val="Imported Style 224"/>
    <w:rsid w:val="006F646F"/>
  </w:style>
  <w:style w:type="numbering" w:customStyle="1" w:styleId="ImportedStyle1024">
    <w:name w:val="Imported Style 1024"/>
    <w:rsid w:val="006F646F"/>
  </w:style>
  <w:style w:type="numbering" w:customStyle="1" w:styleId="ImportedStyle134">
    <w:name w:val="Imported Style 134"/>
    <w:rsid w:val="006F646F"/>
  </w:style>
  <w:style w:type="numbering" w:customStyle="1" w:styleId="Bullet24">
    <w:name w:val="Bullet24"/>
    <w:rsid w:val="006F646F"/>
  </w:style>
  <w:style w:type="numbering" w:customStyle="1" w:styleId="ImportedStyle1124">
    <w:name w:val="Imported Style 1124"/>
    <w:rsid w:val="006F646F"/>
  </w:style>
  <w:style w:type="numbering" w:customStyle="1" w:styleId="ImportedStyle194">
    <w:name w:val="Imported Style 194"/>
    <w:rsid w:val="006F646F"/>
  </w:style>
  <w:style w:type="numbering" w:customStyle="1" w:styleId="ImportedStyle64">
    <w:name w:val="Imported Style 64"/>
    <w:rsid w:val="006F646F"/>
  </w:style>
  <w:style w:type="numbering" w:customStyle="1" w:styleId="ImportedStyle1104">
    <w:name w:val="Imported Style 11.04"/>
    <w:autoRedefine/>
    <w:rsid w:val="006F646F"/>
  </w:style>
  <w:style w:type="numbering" w:customStyle="1" w:styleId="NoList114">
    <w:name w:val="No List114"/>
    <w:next w:val="NoList"/>
    <w:uiPriority w:val="99"/>
    <w:semiHidden/>
    <w:unhideWhenUsed/>
    <w:rsid w:val="006F646F"/>
  </w:style>
  <w:style w:type="table" w:customStyle="1" w:styleId="GridTable7Colorful-Accent44">
    <w:name w:val="Grid Table 7 Colorful - Accent 44"/>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numbering" w:customStyle="1" w:styleId="NoList53">
    <w:name w:val="No List53"/>
    <w:next w:val="NoList"/>
    <w:uiPriority w:val="99"/>
    <w:semiHidden/>
    <w:unhideWhenUsed/>
    <w:rsid w:val="006F646F"/>
  </w:style>
  <w:style w:type="numbering" w:customStyle="1" w:styleId="ImportedStyle143">
    <w:name w:val="Imported Style 143"/>
    <w:rsid w:val="006F646F"/>
  </w:style>
  <w:style w:type="numbering" w:customStyle="1" w:styleId="CurrentList113">
    <w:name w:val="Current List113"/>
    <w:uiPriority w:val="99"/>
    <w:rsid w:val="006F646F"/>
  </w:style>
  <w:style w:type="numbering" w:customStyle="1" w:styleId="ImportedStyle233">
    <w:name w:val="Imported Style 233"/>
    <w:rsid w:val="006F646F"/>
  </w:style>
  <w:style w:type="numbering" w:customStyle="1" w:styleId="ImportedStyle1033">
    <w:name w:val="Imported Style 1033"/>
    <w:rsid w:val="006F646F"/>
  </w:style>
  <w:style w:type="numbering" w:customStyle="1" w:styleId="Bullet33">
    <w:name w:val="Bullet33"/>
    <w:rsid w:val="006F646F"/>
  </w:style>
  <w:style w:type="numbering" w:customStyle="1" w:styleId="ImportedStyle1133">
    <w:name w:val="Imported Style 1133"/>
    <w:rsid w:val="006F646F"/>
  </w:style>
  <w:style w:type="numbering" w:customStyle="1" w:styleId="NoList123">
    <w:name w:val="No List123"/>
    <w:next w:val="NoList"/>
    <w:uiPriority w:val="99"/>
    <w:semiHidden/>
    <w:unhideWhenUsed/>
    <w:rsid w:val="006F646F"/>
  </w:style>
  <w:style w:type="numbering" w:customStyle="1" w:styleId="ImportedStyle2113">
    <w:name w:val="Imported Style 2113"/>
    <w:rsid w:val="006F646F"/>
  </w:style>
  <w:style w:type="numbering" w:customStyle="1" w:styleId="ImportedStyle10113">
    <w:name w:val="Imported Style 10113"/>
    <w:rsid w:val="006F646F"/>
  </w:style>
  <w:style w:type="numbering" w:customStyle="1" w:styleId="ImportedStyle1213">
    <w:name w:val="Imported Style 1213"/>
    <w:rsid w:val="006F646F"/>
  </w:style>
  <w:style w:type="numbering" w:customStyle="1" w:styleId="Bullet113">
    <w:name w:val="Bullet113"/>
    <w:rsid w:val="006F646F"/>
  </w:style>
  <w:style w:type="numbering" w:customStyle="1" w:styleId="ImportedStyle11113">
    <w:name w:val="Imported Style 11113"/>
    <w:rsid w:val="006F646F"/>
  </w:style>
  <w:style w:type="numbering" w:customStyle="1" w:styleId="NoList213">
    <w:name w:val="No List213"/>
    <w:next w:val="NoList"/>
    <w:uiPriority w:val="99"/>
    <w:semiHidden/>
    <w:unhideWhenUsed/>
    <w:rsid w:val="006F646F"/>
  </w:style>
  <w:style w:type="numbering" w:customStyle="1" w:styleId="NoList313">
    <w:name w:val="No List313"/>
    <w:next w:val="NoList"/>
    <w:uiPriority w:val="99"/>
    <w:semiHidden/>
    <w:unhideWhenUsed/>
    <w:rsid w:val="006F646F"/>
  </w:style>
  <w:style w:type="numbering" w:customStyle="1" w:styleId="NoList413">
    <w:name w:val="No List413"/>
    <w:next w:val="NoList"/>
    <w:uiPriority w:val="99"/>
    <w:semiHidden/>
    <w:unhideWhenUsed/>
    <w:rsid w:val="006F646F"/>
  </w:style>
  <w:style w:type="numbering" w:customStyle="1" w:styleId="ImportedStyle2213">
    <w:name w:val="Imported Style 2213"/>
    <w:rsid w:val="006F646F"/>
  </w:style>
  <w:style w:type="numbering" w:customStyle="1" w:styleId="ImportedStyle10213">
    <w:name w:val="Imported Style 10213"/>
    <w:rsid w:val="006F646F"/>
  </w:style>
  <w:style w:type="numbering" w:customStyle="1" w:styleId="ImportedStyle1313">
    <w:name w:val="Imported Style 1313"/>
    <w:rsid w:val="006F646F"/>
  </w:style>
  <w:style w:type="numbering" w:customStyle="1" w:styleId="Bullet213">
    <w:name w:val="Bullet213"/>
    <w:rsid w:val="006F646F"/>
  </w:style>
  <w:style w:type="numbering" w:customStyle="1" w:styleId="ImportedStyle11213">
    <w:name w:val="Imported Style 11213"/>
    <w:rsid w:val="006F646F"/>
  </w:style>
  <w:style w:type="numbering" w:customStyle="1" w:styleId="ImportedStyle1913">
    <w:name w:val="Imported Style 1913"/>
    <w:rsid w:val="006F646F"/>
  </w:style>
  <w:style w:type="numbering" w:customStyle="1" w:styleId="ImportedStyle613">
    <w:name w:val="Imported Style 613"/>
    <w:rsid w:val="006F646F"/>
  </w:style>
  <w:style w:type="numbering" w:customStyle="1" w:styleId="ImportedStyle11013">
    <w:name w:val="Imported Style 11.013"/>
    <w:autoRedefine/>
    <w:rsid w:val="006F646F"/>
  </w:style>
  <w:style w:type="numbering" w:customStyle="1" w:styleId="NoList1114">
    <w:name w:val="No List1114"/>
    <w:next w:val="NoList"/>
    <w:uiPriority w:val="99"/>
    <w:semiHidden/>
    <w:unhideWhenUsed/>
    <w:rsid w:val="006F646F"/>
  </w:style>
  <w:style w:type="table" w:customStyle="1" w:styleId="GridTable7Colorful-Accent414">
    <w:name w:val="Grid Table 7 Colorful - Accent 414"/>
    <w:basedOn w:val="TableNormal"/>
    <w:next w:val="GridTable7Colorful-Accent4"/>
    <w:uiPriority w:val="52"/>
    <w:rsid w:val="006F646F"/>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paragraph" w:styleId="TOCHeading">
    <w:name w:val="TOC Heading"/>
    <w:basedOn w:val="Heading1"/>
    <w:next w:val="Normal"/>
    <w:uiPriority w:val="39"/>
    <w:unhideWhenUsed/>
    <w:qFormat/>
    <w:rsid w:val="006F646F"/>
    <w:pPr>
      <w:outlineLvl w:val="9"/>
    </w:pPr>
  </w:style>
  <w:style w:type="paragraph" w:styleId="TOC4">
    <w:name w:val="toc 4"/>
    <w:basedOn w:val="Normal"/>
    <w:next w:val="Normal"/>
    <w:autoRedefine/>
    <w:uiPriority w:val="39"/>
    <w:unhideWhenUsed/>
    <w:rsid w:val="006F646F"/>
    <w:pPr>
      <w:ind w:left="720"/>
    </w:pPr>
    <w:rPr>
      <w:rFonts w:eastAsiaTheme="minorEastAsia" w:cstheme="minorHAnsi"/>
      <w:sz w:val="20"/>
      <w:szCs w:val="20"/>
    </w:rPr>
  </w:style>
  <w:style w:type="paragraph" w:styleId="TOC5">
    <w:name w:val="toc 5"/>
    <w:basedOn w:val="Normal"/>
    <w:next w:val="Normal"/>
    <w:autoRedefine/>
    <w:uiPriority w:val="39"/>
    <w:unhideWhenUsed/>
    <w:rsid w:val="006F646F"/>
    <w:pPr>
      <w:ind w:left="960"/>
    </w:pPr>
    <w:rPr>
      <w:rFonts w:eastAsiaTheme="minorEastAsia" w:cstheme="minorHAnsi"/>
      <w:sz w:val="20"/>
      <w:szCs w:val="20"/>
    </w:rPr>
  </w:style>
  <w:style w:type="paragraph" w:styleId="TOC6">
    <w:name w:val="toc 6"/>
    <w:basedOn w:val="Normal"/>
    <w:next w:val="Normal"/>
    <w:autoRedefine/>
    <w:uiPriority w:val="39"/>
    <w:unhideWhenUsed/>
    <w:rsid w:val="006F646F"/>
    <w:pPr>
      <w:ind w:left="1200"/>
    </w:pPr>
    <w:rPr>
      <w:rFonts w:eastAsiaTheme="minorEastAsia" w:cstheme="minorHAnsi"/>
      <w:sz w:val="20"/>
      <w:szCs w:val="20"/>
    </w:rPr>
  </w:style>
  <w:style w:type="paragraph" w:styleId="TOC7">
    <w:name w:val="toc 7"/>
    <w:basedOn w:val="Normal"/>
    <w:next w:val="Normal"/>
    <w:autoRedefine/>
    <w:uiPriority w:val="39"/>
    <w:unhideWhenUsed/>
    <w:rsid w:val="006F646F"/>
    <w:pPr>
      <w:ind w:left="1440"/>
    </w:pPr>
    <w:rPr>
      <w:rFonts w:eastAsiaTheme="minorEastAsia" w:cstheme="minorHAnsi"/>
      <w:sz w:val="20"/>
      <w:szCs w:val="20"/>
    </w:rPr>
  </w:style>
  <w:style w:type="paragraph" w:styleId="TOC8">
    <w:name w:val="toc 8"/>
    <w:basedOn w:val="Normal"/>
    <w:next w:val="Normal"/>
    <w:autoRedefine/>
    <w:uiPriority w:val="39"/>
    <w:unhideWhenUsed/>
    <w:rsid w:val="006F646F"/>
    <w:pPr>
      <w:ind w:left="1680"/>
    </w:pPr>
    <w:rPr>
      <w:rFonts w:eastAsiaTheme="minorEastAsia" w:cstheme="minorHAnsi"/>
      <w:sz w:val="20"/>
      <w:szCs w:val="20"/>
    </w:rPr>
  </w:style>
  <w:style w:type="paragraph" w:styleId="TOC9">
    <w:name w:val="toc 9"/>
    <w:basedOn w:val="Normal"/>
    <w:next w:val="Normal"/>
    <w:autoRedefine/>
    <w:uiPriority w:val="39"/>
    <w:unhideWhenUsed/>
    <w:rsid w:val="006F646F"/>
    <w:pPr>
      <w:ind w:left="1920"/>
    </w:pPr>
    <w:rPr>
      <w:rFonts w:eastAsiaTheme="minorEastAsia"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co.benton.or.us/sites/default/files/fileattachments/community_development/page/8136/1977_solid_waste_management_plan_benton_county.pdf" TargetMode="External"/></Relationships>
</file>

<file path=word/_rels/document.xml.rels><?xml version="1.0" encoding="UTF-8" standalone="yes"?>
<Relationships xmlns="http://schemas.openxmlformats.org/package/2006/relationships"><Relationship Id="rId13" Type="http://schemas.openxmlformats.org/officeDocument/2006/relationships/hyperlink" Target="https://www.co.benton.or.us/sites/default/files/fileattachments/community_development/page/8208/benton_county_talks_trash_charter_and_bylaws_approved_8-23-22_final.pdf" TargetMode="External"/><Relationship Id="rId18" Type="http://schemas.openxmlformats.org/officeDocument/2006/relationships/chart" Target="charts/chart2.xml"/><Relationship Id="rId26" Type="http://schemas.openxmlformats.org/officeDocument/2006/relationships/footer" Target="footer1.xml"/><Relationship Id="rId39" Type="http://schemas.openxmlformats.org/officeDocument/2006/relationships/image" Target="media/image10.emf"/><Relationship Id="rId21" Type="http://schemas.openxmlformats.org/officeDocument/2006/relationships/image" Target="media/image3.JPG"/><Relationship Id="rId34" Type="http://schemas.openxmlformats.org/officeDocument/2006/relationships/hyperlink" Target="https://www.co.benton.or.us/sites/default/files/fileattachments/community_development/page/8136/republic_svcs_riverbend_landfill_500952_mou_120116.pdf" TargetMode="External"/><Relationship Id="rId42" Type="http://schemas.openxmlformats.org/officeDocument/2006/relationships/image" Target="media/image12.emf"/><Relationship Id="rId47" Type="http://schemas.openxmlformats.org/officeDocument/2006/relationships/hyperlink" Target="https://ghgdata.epa.gov/ghgp/service/facilityDetail/2021?id=1007054&amp;ds=E&amp;et=&amp;popup=true" TargetMode="External"/><Relationship Id="rId50" Type="http://schemas.openxmlformats.org/officeDocument/2006/relationships/image" Target="media/image16.png"/><Relationship Id="rId55"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o.benton.or.us/cd/page/coffin-butte-landfill-and-prc-annual-reports" TargetMode="External"/><Relationship Id="rId29" Type="http://schemas.openxmlformats.org/officeDocument/2006/relationships/hyperlink" Target="https://www.co.benton.or.us/sites/default/files/fileattachments/community_development/page/8139/2004_coffin_butte_landfill_annual_report.pdf" TargetMode="External"/><Relationship Id="rId11" Type="http://schemas.microsoft.com/office/2016/09/relationships/commentsIds" Target="commentsIds.xml"/><Relationship Id="rId24" Type="http://schemas.openxmlformats.org/officeDocument/2006/relationships/image" Target="media/image6.emf"/><Relationship Id="rId32" Type="http://schemas.openxmlformats.org/officeDocument/2006/relationships/chart" Target="charts/chart4.xml"/><Relationship Id="rId37" Type="http://schemas.openxmlformats.org/officeDocument/2006/relationships/header" Target="header2.xml"/><Relationship Id="rId40" Type="http://schemas.openxmlformats.org/officeDocument/2006/relationships/image" Target="media/image11.emf"/><Relationship Id="rId45" Type="http://schemas.openxmlformats.org/officeDocument/2006/relationships/chart" Target="charts/chart7.xml"/><Relationship Id="rId53" Type="http://schemas.openxmlformats.org/officeDocument/2006/relationships/image" Target="media/image19.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hyperlink" Target="https://www.co.benton.or.us/cd/page/bctt-subcommittee-a1-landfill-sizecapacitylongevity" TargetMode="External"/><Relationship Id="rId22" Type="http://schemas.openxmlformats.org/officeDocument/2006/relationships/image" Target="media/image4.jpeg"/><Relationship Id="rId27" Type="http://schemas.openxmlformats.org/officeDocument/2006/relationships/image" Target="media/image8.jpeg"/><Relationship Id="rId30" Type="http://schemas.openxmlformats.org/officeDocument/2006/relationships/hyperlink" Target="https://www.co.benton.or.us/sites/default/files/fileattachments/community_development/page/8139/2013_coffin_butte-prc_annual_report.pdf" TargetMode="External"/><Relationship Id="rId35" Type="http://schemas.openxmlformats.org/officeDocument/2006/relationships/chart" Target="charts/chart6.xml"/><Relationship Id="rId43" Type="http://schemas.openxmlformats.org/officeDocument/2006/relationships/image" Target="media/image13.png"/><Relationship Id="rId48" Type="http://schemas.openxmlformats.org/officeDocument/2006/relationships/image" Target="media/image14.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7.png"/><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chart" Target="charts/chart1.xml"/><Relationship Id="rId25" Type="http://schemas.openxmlformats.org/officeDocument/2006/relationships/image" Target="media/image7.png"/><Relationship Id="rId33" Type="http://schemas.openxmlformats.org/officeDocument/2006/relationships/chart" Target="charts/chart5.xml"/><Relationship Id="rId38" Type="http://schemas.openxmlformats.org/officeDocument/2006/relationships/header" Target="header3.xml"/><Relationship Id="rId46" Type="http://schemas.openxmlformats.org/officeDocument/2006/relationships/hyperlink" Target="https://www.co.benton.or.us/sites/default/files/fileattachments/community_development/page/8136/1977_solid_waste_management_plan_benton_county.pdf" TargetMode="External"/><Relationship Id="rId20" Type="http://schemas.openxmlformats.org/officeDocument/2006/relationships/hyperlink" Target="https://www.co.benton.or.us/sites/default/files/fileattachments/community_development/page/8136/landfill_mou_2002.pdf" TargetMode="External"/><Relationship Id="rId41" Type="http://schemas.openxmlformats.org/officeDocument/2006/relationships/hyperlink" Target="https://www.co.benton.or.us/sites/default/files/fileattachments/community_development/page/8136/landfill_mou_2002.pdf" TargetMode="External"/><Relationship Id="rId54" Type="http://schemas.openxmlformats.org/officeDocument/2006/relationships/hyperlink" Target="https://www.oregon.gov/deq/FilterDocs/OregonGHGreport.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5.JPG"/><Relationship Id="rId28" Type="http://schemas.openxmlformats.org/officeDocument/2006/relationships/image" Target="media/image9.png"/><Relationship Id="rId36" Type="http://schemas.openxmlformats.org/officeDocument/2006/relationships/header" Target="header1.xml"/><Relationship Id="rId49" Type="http://schemas.openxmlformats.org/officeDocument/2006/relationships/image" Target="media/image15.png"/><Relationship Id="rId57" Type="http://schemas.microsoft.com/office/2011/relationships/people" Target="people.xml"/><Relationship Id="rId10" Type="http://schemas.microsoft.com/office/2011/relationships/commentsExtended" Target="commentsExtended.xml"/><Relationship Id="rId31" Type="http://schemas.openxmlformats.org/officeDocument/2006/relationships/hyperlink" Target="https://www.co.benton.or.us/sites/default/files/fileattachments/community_development/page/8139/2021_coffin_butte_prc_annual_report.pdf" TargetMode="External"/><Relationship Id="rId44" Type="http://schemas.openxmlformats.org/officeDocument/2006/relationships/hyperlink" Target="https://www.co.benton.or.us/cd/page/coffin-butte-landfill-and-prc-annual-reports" TargetMode="External"/><Relationship Id="rId52" Type="http://schemas.openxmlformats.org/officeDocument/2006/relationships/image" Target="media/image18.png"/></Relationships>
</file>

<file path=word/_rels/footnotes.xml.rels><?xml version="1.0" encoding="UTF-8" standalone="yes"?>
<Relationships xmlns="http://schemas.openxmlformats.org/package/2006/relationships"><Relationship Id="rId2" Type="http://schemas.openxmlformats.org/officeDocument/2006/relationships/hyperlink" Target="https://www.oregon.gov/deq/FilterDocs/OregonGHGreport.pdf" TargetMode="External"/><Relationship Id="rId1" Type="http://schemas.openxmlformats.org/officeDocument/2006/relationships/hyperlink" Target="https://www.co.benton.or.us/sites/default/files/fileattachments/community_development/page/8139/2013_coffin_butte-prc_annual_report.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eptshare.in.co.benton.or.us\departments\dev\Solid%20Waste%20Program\Waste%20Generation\Coffin%20Butte%20Landfill%20Data.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Moss%20Rock%20property\CoffinButte%20expansion%20fight\Solid%20Waste%20Process%20Workgroup%20Sep%202022\Subcommitte%20work\A1_LandfillSizeCapacityLongevity\Report%20to%20Workgroup\Nietfeld_Coffin_Butte_volume_spreadsheet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eptshare.in.co.benton.or.us\departments\dev\Solid%20Waste%20Program\Waste%20Generation\Coffin%20Butte%20Landfill%20Data.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eptshare.in.co.benton.or.us\departments\dev\Solid%20Waste%20Program\Waste%20Generation\Coffin%20Butte%20Landfill%20Data.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Moss%20Rock%20property\CoffinButte%20expansion%20fight\Solid%20Waste%20Process%20Workgroup%20Sep%202022\Subcommitte%20work\A1_LandfillSizeCapacityLongevity\Report%20to%20Workgroup\Nietfeld_Coffin_Butte_volume_spreadsheet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eptshare.in.co.benton.or.us\departments\dev\Solid%20Waste%20Program\Waste%20Generation\Coffin%20Butte%20Landfill%20Da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eptshare.in.co.benton.or.us\departments\dev\Solid%20Waste%20Program\Waste%20Generation\Coffin%20Butte%20Landfill%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Reported </a:t>
            </a:r>
            <a:r>
              <a:rPr lang="en-US" sz="1400" b="0" i="0" u="none" strike="noStrike" baseline="0">
                <a:effectLst/>
              </a:rPr>
              <a:t>Year of Reaching </a:t>
            </a:r>
            <a:r>
              <a:rPr lang="en-US"/>
              <a:t>Estimated</a:t>
            </a:r>
            <a:r>
              <a:rPr lang="en-US" baseline="0"/>
              <a:t> Landfill Capacity  (1998-2022)</a:t>
            </a:r>
            <a:endParaRPr lang="en-US"/>
          </a:p>
        </c:rich>
      </c:tx>
      <c:overlay val="0"/>
      <c:spPr>
        <a:noFill/>
        <a:ln>
          <a:noFill/>
        </a:ln>
        <a:effectLst/>
      </c:spPr>
    </c:title>
    <c:autoTitleDeleted val="0"/>
    <c:plotArea>
      <c:layout/>
      <c:barChart>
        <c:barDir val="col"/>
        <c:grouping val="clustered"/>
        <c:varyColors val="0"/>
        <c:ser>
          <c:idx val="0"/>
          <c:order val="0"/>
          <c:tx>
            <c:strRef>
              <c:f>'Coffin Butte Landfill Capacity'!$A$36</c:f>
              <c:strCache>
                <c:ptCount val="1"/>
                <c:pt idx="0">
                  <c:v>Estimated Year Capacity is Reached (Upper)</c:v>
                </c:pt>
              </c:strCache>
            </c:strRef>
          </c:tx>
          <c:spPr>
            <a:ln w="28575" cap="rnd">
              <a:solidFill>
                <a:schemeClr val="accent1"/>
              </a:solidFill>
              <a:round/>
            </a:ln>
            <a:effectLst/>
          </c:spPr>
          <c:invertIfNegative val="0"/>
          <c:cat>
            <c:numRef>
              <c:f>'Coffin Butte Landfill Capacity'!$G$4:$AE$4</c:f>
              <c:numCache>
                <c:formatCode>General</c:formatCode>
                <c:ptCount val="25"/>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numCache>
            </c:numRef>
          </c:cat>
          <c:val>
            <c:numRef>
              <c:f>'Coffin Butte Landfill Capacity'!$G$36:$AE$36</c:f>
              <c:numCache>
                <c:formatCode>0</c:formatCode>
                <c:ptCount val="25"/>
                <c:pt idx="0">
                  <c:v>2066.1</c:v>
                </c:pt>
                <c:pt idx="1">
                  <c:v>2078.5</c:v>
                </c:pt>
                <c:pt idx="3">
                  <c:v>2048.5</c:v>
                </c:pt>
                <c:pt idx="4">
                  <c:v>2046.1</c:v>
                </c:pt>
                <c:pt idx="5">
                  <c:v>2046.1</c:v>
                </c:pt>
                <c:pt idx="6">
                  <c:v>2044.9</c:v>
                </c:pt>
                <c:pt idx="7">
                  <c:v>2044.9</c:v>
                </c:pt>
                <c:pt idx="8">
                  <c:v>2044.9</c:v>
                </c:pt>
                <c:pt idx="9">
                  <c:v>2044.9</c:v>
                </c:pt>
                <c:pt idx="10">
                  <c:v>2045.1</c:v>
                </c:pt>
                <c:pt idx="11">
                  <c:v>2045.2</c:v>
                </c:pt>
                <c:pt idx="12">
                  <c:v>2052.19</c:v>
                </c:pt>
                <c:pt idx="13">
                  <c:v>2055.5300000000002</c:v>
                </c:pt>
                <c:pt idx="14">
                  <c:v>2054.2600000000002</c:v>
                </c:pt>
                <c:pt idx="15">
                  <c:v>2061.7600000000002</c:v>
                </c:pt>
                <c:pt idx="16">
                  <c:v>2061.94</c:v>
                </c:pt>
                <c:pt idx="17">
                  <c:v>2056.8000000000002</c:v>
                </c:pt>
                <c:pt idx="18">
                  <c:v>2057.02</c:v>
                </c:pt>
                <c:pt idx="19">
                  <c:v>2055.27</c:v>
                </c:pt>
                <c:pt idx="20">
                  <c:v>2048.27</c:v>
                </c:pt>
                <c:pt idx="21">
                  <c:v>2044.98</c:v>
                </c:pt>
                <c:pt idx="22">
                  <c:v>2041.85</c:v>
                </c:pt>
                <c:pt idx="23">
                  <c:v>2042.38</c:v>
                </c:pt>
                <c:pt idx="24">
                  <c:v>2037.99</c:v>
                </c:pt>
              </c:numCache>
            </c:numRef>
          </c:val>
          <c:extLst>
            <c:ext xmlns:c16="http://schemas.microsoft.com/office/drawing/2014/chart" uri="{C3380CC4-5D6E-409C-BE32-E72D297353CC}">
              <c16:uniqueId val="{00000000-4BFE-451A-80A9-F0349DAC0EF9}"/>
            </c:ext>
          </c:extLst>
        </c:ser>
        <c:ser>
          <c:idx val="1"/>
          <c:order val="1"/>
          <c:tx>
            <c:strRef>
              <c:f>'Coffin Butte Landfill Capacity'!$A$37</c:f>
              <c:strCache>
                <c:ptCount val="1"/>
                <c:pt idx="0">
                  <c:v>Estimated Year  Capacity is Reached (Lower)</c:v>
                </c:pt>
              </c:strCache>
            </c:strRef>
          </c:tx>
          <c:spPr>
            <a:ln w="28575" cap="rnd">
              <a:solidFill>
                <a:schemeClr val="accent2"/>
              </a:solidFill>
              <a:round/>
            </a:ln>
            <a:effectLst/>
          </c:spPr>
          <c:invertIfNegative val="0"/>
          <c:cat>
            <c:numRef>
              <c:f>'Coffin Butte Landfill Capacity'!$G$4:$AE$4</c:f>
              <c:numCache>
                <c:formatCode>General</c:formatCode>
                <c:ptCount val="25"/>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numCache>
            </c:numRef>
          </c:cat>
          <c:val>
            <c:numRef>
              <c:f>'Coffin Butte Landfill Capacity'!$G$37:$AE$37</c:f>
              <c:numCache>
                <c:formatCode>0</c:formatCode>
                <c:ptCount val="25"/>
                <c:pt idx="0">
                  <c:v>2066.1</c:v>
                </c:pt>
                <c:pt idx="1">
                  <c:v>2078.5</c:v>
                </c:pt>
                <c:pt idx="3">
                  <c:v>2048.5</c:v>
                </c:pt>
                <c:pt idx="4">
                  <c:v>2046.1</c:v>
                </c:pt>
                <c:pt idx="5">
                  <c:v>2046.1</c:v>
                </c:pt>
                <c:pt idx="6">
                  <c:v>2044.9</c:v>
                </c:pt>
                <c:pt idx="7">
                  <c:v>2044.9</c:v>
                </c:pt>
                <c:pt idx="8">
                  <c:v>2044.9</c:v>
                </c:pt>
                <c:pt idx="9">
                  <c:v>2044.9</c:v>
                </c:pt>
                <c:pt idx="10">
                  <c:v>2045.1</c:v>
                </c:pt>
                <c:pt idx="11">
                  <c:v>2045.2</c:v>
                </c:pt>
                <c:pt idx="12">
                  <c:v>2046.51</c:v>
                </c:pt>
                <c:pt idx="13">
                  <c:v>2050.69</c:v>
                </c:pt>
                <c:pt idx="14">
                  <c:v>2049.9899999999998</c:v>
                </c:pt>
                <c:pt idx="15">
                  <c:v>2054.537546957175</c:v>
                </c:pt>
                <c:pt idx="16">
                  <c:v>2053.9790569925635</c:v>
                </c:pt>
                <c:pt idx="17">
                  <c:v>2052.8945872946274</c:v>
                </c:pt>
                <c:pt idx="18">
                  <c:v>2050.0285993570496</c:v>
                </c:pt>
                <c:pt idx="19">
                  <c:v>2042.7461271465108</c:v>
                </c:pt>
                <c:pt idx="20">
                  <c:v>2037.5690105089714</c:v>
                </c:pt>
                <c:pt idx="21">
                  <c:v>2033.7445045481736</c:v>
                </c:pt>
                <c:pt idx="22">
                  <c:v>2034.5378355550988</c:v>
                </c:pt>
                <c:pt idx="23">
                  <c:v>2035.0613108231712</c:v>
                </c:pt>
                <c:pt idx="24">
                  <c:v>2036.54</c:v>
                </c:pt>
              </c:numCache>
            </c:numRef>
          </c:val>
          <c:extLst>
            <c:ext xmlns:c16="http://schemas.microsoft.com/office/drawing/2014/chart" uri="{C3380CC4-5D6E-409C-BE32-E72D297353CC}">
              <c16:uniqueId val="{00000001-4BFE-451A-80A9-F0349DAC0EF9}"/>
            </c:ext>
          </c:extLst>
        </c:ser>
        <c:dLbls>
          <c:showLegendKey val="0"/>
          <c:showVal val="0"/>
          <c:showCatName val="0"/>
          <c:showSerName val="0"/>
          <c:showPercent val="0"/>
          <c:showBubbleSize val="0"/>
        </c:dLbls>
        <c:gapWidth val="150"/>
        <c:axId val="676963240"/>
        <c:axId val="676963896"/>
      </c:barChart>
      <c:catAx>
        <c:axId val="676963240"/>
        <c:scaling>
          <c:orientation val="minMax"/>
        </c:scaling>
        <c:delete val="0"/>
        <c:axPos val="b"/>
        <c:title>
          <c:tx>
            <c:rich>
              <a:bodyPr/>
              <a:lstStyle/>
              <a:p>
                <a:pPr>
                  <a:defRPr/>
                </a:pPr>
                <a:r>
                  <a:rPr lang="en-US"/>
                  <a:t>Reporting Year</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3896"/>
        <c:crosses val="autoZero"/>
        <c:auto val="1"/>
        <c:lblAlgn val="ctr"/>
        <c:lblOffset val="100"/>
        <c:noMultiLvlLbl val="0"/>
      </c:catAx>
      <c:valAx>
        <c:axId val="676963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US"/>
                  <a:t>Estmated Year</a:t>
                </a:r>
                <a:r>
                  <a:rPr lang="en-US" baseline="0"/>
                  <a:t> of Capacity</a:t>
                </a:r>
                <a:endParaRPr lang="en-US"/>
              </a:p>
            </c:rich>
          </c:tx>
          <c:overlay val="0"/>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3240"/>
        <c:crosses val="autoZero"/>
        <c:crossBetween val="between"/>
      </c:valAx>
    </c:plotArea>
    <c:legend>
      <c:legendPos val="b"/>
      <c:overlay val="0"/>
    </c:legend>
    <c:plotVisOnly val="1"/>
    <c:dispBlanksAs val="gap"/>
    <c:showDLblsOverMax val="0"/>
  </c:chart>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r>
              <a:rPr lang="en-US" sz="1800" b="1" i="0" baseline="0">
                <a:solidFill>
                  <a:sysClr val="windowText" lastClr="000000"/>
                </a:solidFill>
              </a:rPr>
              <a:t>Coffin Butte Landfill Intake </a:t>
            </a:r>
            <a:r>
              <a:rPr lang="en-US" sz="1800" b="1" i="0" baseline="0">
                <a:solidFill>
                  <a:srgbClr val="FF0000"/>
                </a:solidFill>
              </a:rPr>
              <a:t>Tonnage</a:t>
            </a:r>
            <a:r>
              <a:rPr lang="en-US" sz="1800" b="1" i="0" baseline="0">
                <a:solidFill>
                  <a:sysClr val="windowText" lastClr="000000"/>
                </a:solidFill>
              </a:rPr>
              <a:t> (Tons/yr)</a:t>
            </a:r>
          </a:p>
        </c:rich>
      </c:tx>
      <c:overlay val="0"/>
      <c:spPr>
        <a:noFill/>
        <a:ln>
          <a:noFill/>
        </a:ln>
        <a:effectLst/>
      </c:spPr>
      <c:txPr>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1"/>
          <c:order val="0"/>
          <c:tx>
            <c:v>Tons Disposed</c:v>
          </c:tx>
          <c:spPr>
            <a:solidFill>
              <a:schemeClr val="accent2"/>
            </a:solidFill>
            <a:ln>
              <a:noFill/>
            </a:ln>
            <a:effectLst/>
          </c:spPr>
          <c:invertIfNegative val="0"/>
          <c:cat>
            <c:numRef>
              <c:f>LandfillVolCBAR!$B$7:$B$35</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LandfillVolCBAR!$C$7:$C$35</c:f>
              <c:numCache>
                <c:formatCode>#,##0</c:formatCode>
                <c:ptCount val="29"/>
                <c:pt idx="0">
                  <c:v>310648</c:v>
                </c:pt>
                <c:pt idx="1">
                  <c:v>268472</c:v>
                </c:pt>
                <c:pt idx="2">
                  <c:v>287932</c:v>
                </c:pt>
                <c:pt idx="3">
                  <c:v>369835</c:v>
                </c:pt>
                <c:pt idx="4">
                  <c:v>378919</c:v>
                </c:pt>
                <c:pt idx="5">
                  <c:v>395751</c:v>
                </c:pt>
                <c:pt idx="6">
                  <c:v>401408</c:v>
                </c:pt>
                <c:pt idx="7">
                  <c:v>413493</c:v>
                </c:pt>
                <c:pt idx="8">
                  <c:v>425723</c:v>
                </c:pt>
                <c:pt idx="9">
                  <c:v>453261</c:v>
                </c:pt>
                <c:pt idx="10">
                  <c:v>550506</c:v>
                </c:pt>
                <c:pt idx="11">
                  <c:v>586076</c:v>
                </c:pt>
                <c:pt idx="12">
                  <c:v>580275</c:v>
                </c:pt>
                <c:pt idx="13">
                  <c:v>618340</c:v>
                </c:pt>
                <c:pt idx="14">
                  <c:v>546996</c:v>
                </c:pt>
                <c:pt idx="15">
                  <c:v>528396</c:v>
                </c:pt>
                <c:pt idx="16">
                  <c:v>519058</c:v>
                </c:pt>
                <c:pt idx="17">
                  <c:v>458590</c:v>
                </c:pt>
                <c:pt idx="18">
                  <c:v>482951</c:v>
                </c:pt>
                <c:pt idx="19">
                  <c:v>473550</c:v>
                </c:pt>
                <c:pt idx="20">
                  <c:v>479160</c:v>
                </c:pt>
                <c:pt idx="21">
                  <c:v>499687</c:v>
                </c:pt>
                <c:pt idx="22">
                  <c:v>530971</c:v>
                </c:pt>
                <c:pt idx="23">
                  <c:v>552979</c:v>
                </c:pt>
                <c:pt idx="24">
                  <c:v>941430</c:v>
                </c:pt>
                <c:pt idx="25">
                  <c:v>1010879</c:v>
                </c:pt>
                <c:pt idx="26">
                  <c:v>1034934</c:v>
                </c:pt>
                <c:pt idx="27">
                  <c:v>863210</c:v>
                </c:pt>
                <c:pt idx="28">
                  <c:v>1046067</c:v>
                </c:pt>
              </c:numCache>
            </c:numRef>
          </c:val>
          <c:extLst>
            <c:ext xmlns:c16="http://schemas.microsoft.com/office/drawing/2014/chart" uri="{C3380CC4-5D6E-409C-BE32-E72D297353CC}">
              <c16:uniqueId val="{00000000-6931-4FC6-8115-14FE7FD25CD5}"/>
            </c:ext>
          </c:extLst>
        </c:ser>
        <c:dLbls>
          <c:showLegendKey val="0"/>
          <c:showVal val="0"/>
          <c:showCatName val="0"/>
          <c:showSerName val="0"/>
          <c:showPercent val="0"/>
          <c:showBubbleSize val="0"/>
        </c:dLbls>
        <c:gapWidth val="80"/>
        <c:overlap val="-27"/>
        <c:axId val="528989144"/>
        <c:axId val="528989536"/>
      </c:barChart>
      <c:lineChart>
        <c:grouping val="standard"/>
        <c:varyColors val="0"/>
        <c:ser>
          <c:idx val="2"/>
          <c:order val="1"/>
          <c:tx>
            <c:v>2000 FA Limit</c:v>
          </c:tx>
          <c:spPr>
            <a:ln w="19050" cap="rnd">
              <a:solidFill>
                <a:schemeClr val="accent1"/>
              </a:solidFill>
              <a:round/>
            </a:ln>
            <a:effectLst/>
          </c:spPr>
          <c:marker>
            <c:symbol val="circle"/>
            <c:size val="5"/>
            <c:spPr>
              <a:solidFill>
                <a:schemeClr val="accent1"/>
              </a:solidFill>
              <a:ln w="9525">
                <a:solidFill>
                  <a:schemeClr val="accent3"/>
                </a:solidFill>
              </a:ln>
              <a:effectLst/>
            </c:spPr>
          </c:marker>
          <c:cat>
            <c:numRef>
              <c:f>LandfillVolCBAR!$B$7:$B$36</c:f>
              <c:numCache>
                <c:formatCode>General</c:formatCode>
                <c:ptCount val="30"/>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pt idx="29">
                  <c:v>2022</c:v>
                </c:pt>
              </c:numCache>
            </c:numRef>
          </c:cat>
          <c:val>
            <c:numRef>
              <c:f>LandfillVolCBAR!$D$7:$D$35</c:f>
              <c:numCache>
                <c:formatCode>General</c:formatCode>
                <c:ptCount val="29"/>
                <c:pt idx="0">
                  <c:v>#N/A</c:v>
                </c:pt>
                <c:pt idx="1">
                  <c:v>#N/A</c:v>
                </c:pt>
                <c:pt idx="2">
                  <c:v>#N/A</c:v>
                </c:pt>
                <c:pt idx="3">
                  <c:v>#N/A</c:v>
                </c:pt>
                <c:pt idx="4">
                  <c:v>#N/A</c:v>
                </c:pt>
                <c:pt idx="5">
                  <c:v>#N/A</c:v>
                </c:pt>
                <c:pt idx="6">
                  <c:v>#N/A</c:v>
                </c:pt>
                <c:pt idx="7">
                  <c:v>#N/A</c:v>
                </c:pt>
                <c:pt idx="8" formatCode="#,##0">
                  <c:v>600000</c:v>
                </c:pt>
                <c:pt idx="9" formatCode="#,##0">
                  <c:v>612000</c:v>
                </c:pt>
                <c:pt idx="10" formatCode="#,##0">
                  <c:v>624240</c:v>
                </c:pt>
                <c:pt idx="11" formatCode="#,##0">
                  <c:v>636724.80000000005</c:v>
                </c:pt>
                <c:pt idx="12" formatCode="#,##0">
                  <c:v>649459.29600000009</c:v>
                </c:pt>
                <c:pt idx="13" formatCode="#,##0">
                  <c:v>662448.48192000005</c:v>
                </c:pt>
                <c:pt idx="14" formatCode="#,##0">
                  <c:v>675697.45155840006</c:v>
                </c:pt>
                <c:pt idx="15" formatCode="#,##0">
                  <c:v>689211.40058956807</c:v>
                </c:pt>
                <c:pt idx="16" formatCode="#,##0">
                  <c:v>702995.62860135944</c:v>
                </c:pt>
                <c:pt idx="17" formatCode="#,##0">
                  <c:v>717055.54117338662</c:v>
                </c:pt>
                <c:pt idx="18" formatCode="#,##0">
                  <c:v>731396.65199685434</c:v>
                </c:pt>
                <c:pt idx="19" formatCode="#,##0">
                  <c:v>746024.5850367914</c:v>
                </c:pt>
                <c:pt idx="20" formatCode="#,##0">
                  <c:v>760945.07673752727</c:v>
                </c:pt>
                <c:pt idx="21" formatCode="#,##0">
                  <c:v>776163.97827227786</c:v>
                </c:pt>
                <c:pt idx="22" formatCode="#,##0">
                  <c:v>791687.25783772347</c:v>
                </c:pt>
                <c:pt idx="23" formatCode="#,##0">
                  <c:v>807521.00299447798</c:v>
                </c:pt>
                <c:pt idx="24" formatCode="#,##0">
                  <c:v>823671.42305436754</c:v>
                </c:pt>
                <c:pt idx="25" formatCode="#,##0">
                  <c:v>840144.85151545494</c:v>
                </c:pt>
                <c:pt idx="26" formatCode="#,##0">
                  <c:v>856947.74854576401</c:v>
                </c:pt>
                <c:pt idx="27" formatCode="#,##0">
                  <c:v>874086.70351667935</c:v>
                </c:pt>
                <c:pt idx="28">
                  <c:v>#N/A</c:v>
                </c:pt>
              </c:numCache>
            </c:numRef>
          </c:val>
          <c:smooth val="0"/>
          <c:extLst>
            <c:ext xmlns:c16="http://schemas.microsoft.com/office/drawing/2014/chart" uri="{C3380CC4-5D6E-409C-BE32-E72D297353CC}">
              <c16:uniqueId val="{00000001-6931-4FC6-8115-14FE7FD25CD5}"/>
            </c:ext>
          </c:extLst>
        </c:ser>
        <c:dLbls>
          <c:showLegendKey val="0"/>
          <c:showVal val="0"/>
          <c:showCatName val="0"/>
          <c:showSerName val="0"/>
          <c:showPercent val="0"/>
          <c:showBubbleSize val="0"/>
        </c:dLbls>
        <c:marker val="1"/>
        <c:smooth val="0"/>
        <c:axId val="528989144"/>
        <c:axId val="528989536"/>
      </c:lineChart>
      <c:catAx>
        <c:axId val="528989144"/>
        <c:scaling>
          <c:orientation val="minMax"/>
        </c:scaling>
        <c:delete val="0"/>
        <c:axPos val="b"/>
        <c:title>
          <c:tx>
            <c:rich>
              <a:bodyPr rot="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r>
                  <a:rPr lang="en-US" sz="1200" b="1" i="1" baseline="0">
                    <a:solidFill>
                      <a:sysClr val="windowText" lastClr="000000"/>
                    </a:solidFill>
                  </a:rPr>
                  <a:t>Year</a:t>
                </a:r>
              </a:p>
            </c:rich>
          </c:tx>
          <c:layout>
            <c:manualLayout>
              <c:xMode val="edge"/>
              <c:yMode val="edge"/>
              <c:x val="0.47110090095515822"/>
              <c:y val="0.9455763110522758"/>
            </c:manualLayout>
          </c:layout>
          <c:overlay val="0"/>
          <c:spPr>
            <a:noFill/>
            <a:ln>
              <a:noFill/>
            </a:ln>
            <a:effectLst/>
          </c:spPr>
          <c:txPr>
            <a:bodyPr rot="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28989536"/>
        <c:crosses val="autoZero"/>
        <c:auto val="1"/>
        <c:lblAlgn val="ctr"/>
        <c:lblOffset val="100"/>
        <c:noMultiLvlLbl val="0"/>
      </c:catAx>
      <c:valAx>
        <c:axId val="528989536"/>
        <c:scaling>
          <c:orientation val="minMax"/>
          <c:max val="1200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r>
                  <a:rPr lang="en-US" sz="1200" b="1" i="1" baseline="0">
                    <a:solidFill>
                      <a:sysClr val="windowText" lastClr="000000"/>
                    </a:solidFill>
                  </a:rPr>
                  <a:t>Intake Tonnage (Tons/yr)</a:t>
                </a:r>
              </a:p>
            </c:rich>
          </c:tx>
          <c:overlay val="0"/>
          <c:spPr>
            <a:noFill/>
            <a:ln>
              <a:noFill/>
            </a:ln>
            <a:effectLst/>
          </c:spPr>
          <c:txPr>
            <a:bodyPr rot="-540000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28989144"/>
        <c:crosses val="autoZero"/>
        <c:crossBetween val="between"/>
        <c:majorUnit val="100000"/>
        <c:minorUnit val="50000"/>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Coffin Butte Waste Accepted by Major County (2013-2021)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'Landfill Waste Origin'!$B$46</c:f>
              <c:strCache>
                <c:ptCount val="1"/>
                <c:pt idx="0">
                  <c:v>Benton</c:v>
                </c:pt>
              </c:strCache>
            </c:strRef>
          </c:tx>
          <c:spPr>
            <a:solidFill>
              <a:schemeClr val="accent1"/>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Origin'!$C$46:$K$46</c:f>
              <c:numCache>
                <c:formatCode>#,##0.00</c:formatCode>
                <c:ptCount val="9"/>
                <c:pt idx="0">
                  <c:v>72619.679999999993</c:v>
                </c:pt>
                <c:pt idx="1">
                  <c:v>84749.119999999995</c:v>
                </c:pt>
                <c:pt idx="2">
                  <c:v>94847.86</c:v>
                </c:pt>
                <c:pt idx="3">
                  <c:v>79422.600000000006</c:v>
                </c:pt>
                <c:pt idx="4">
                  <c:v>146199.32</c:v>
                </c:pt>
                <c:pt idx="5">
                  <c:v>105813.5</c:v>
                </c:pt>
                <c:pt idx="6">
                  <c:v>101908.16</c:v>
                </c:pt>
                <c:pt idx="7">
                  <c:v>101526.2</c:v>
                </c:pt>
                <c:pt idx="8">
                  <c:v>114752.76</c:v>
                </c:pt>
              </c:numCache>
            </c:numRef>
          </c:val>
          <c:extLst>
            <c:ext xmlns:c16="http://schemas.microsoft.com/office/drawing/2014/chart" uri="{C3380CC4-5D6E-409C-BE32-E72D297353CC}">
              <c16:uniqueId val="{00000000-5E47-4A6A-97C3-FFCAE298FB6B}"/>
            </c:ext>
          </c:extLst>
        </c:ser>
        <c:ser>
          <c:idx val="1"/>
          <c:order val="1"/>
          <c:tx>
            <c:strRef>
              <c:f>'Landfill Waste Origin'!$B$47</c:f>
              <c:strCache>
                <c:ptCount val="1"/>
                <c:pt idx="0">
                  <c:v>Linn</c:v>
                </c:pt>
              </c:strCache>
            </c:strRef>
          </c:tx>
          <c:spPr>
            <a:solidFill>
              <a:schemeClr val="accent2"/>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Origin'!$C$47:$K$47</c:f>
              <c:numCache>
                <c:formatCode>#,##0.00</c:formatCode>
                <c:ptCount val="9"/>
                <c:pt idx="0">
                  <c:v>100662.27</c:v>
                </c:pt>
                <c:pt idx="1">
                  <c:v>105866.31</c:v>
                </c:pt>
                <c:pt idx="2">
                  <c:v>98173</c:v>
                </c:pt>
                <c:pt idx="3">
                  <c:v>107060.35</c:v>
                </c:pt>
                <c:pt idx="4">
                  <c:v>115718.18</c:v>
                </c:pt>
                <c:pt idx="5">
                  <c:v>122723.31</c:v>
                </c:pt>
                <c:pt idx="6">
                  <c:v>136324.04999999999</c:v>
                </c:pt>
                <c:pt idx="7">
                  <c:v>139295.70000000001</c:v>
                </c:pt>
                <c:pt idx="8">
                  <c:v>142780.78</c:v>
                </c:pt>
              </c:numCache>
            </c:numRef>
          </c:val>
          <c:extLst>
            <c:ext xmlns:c16="http://schemas.microsoft.com/office/drawing/2014/chart" uri="{C3380CC4-5D6E-409C-BE32-E72D297353CC}">
              <c16:uniqueId val="{00000001-5E47-4A6A-97C3-FFCAE298FB6B}"/>
            </c:ext>
          </c:extLst>
        </c:ser>
        <c:ser>
          <c:idx val="2"/>
          <c:order val="2"/>
          <c:tx>
            <c:strRef>
              <c:f>'Landfill Waste Origin'!$B$48</c:f>
              <c:strCache>
                <c:ptCount val="1"/>
                <c:pt idx="0">
                  <c:v>Marion</c:v>
                </c:pt>
              </c:strCache>
            </c:strRef>
          </c:tx>
          <c:spPr>
            <a:solidFill>
              <a:schemeClr val="accent3"/>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Origin'!$C$48:$K$48</c:f>
              <c:numCache>
                <c:formatCode>#,##0.00</c:formatCode>
                <c:ptCount val="9"/>
                <c:pt idx="0">
                  <c:v>105946.69</c:v>
                </c:pt>
                <c:pt idx="1">
                  <c:v>84963.23</c:v>
                </c:pt>
                <c:pt idx="2">
                  <c:v>96868.46</c:v>
                </c:pt>
                <c:pt idx="3">
                  <c:v>117610.42</c:v>
                </c:pt>
                <c:pt idx="4">
                  <c:v>134469.73000000001</c:v>
                </c:pt>
                <c:pt idx="5">
                  <c:v>138671.73000000001</c:v>
                </c:pt>
                <c:pt idx="6">
                  <c:v>153029.6</c:v>
                </c:pt>
                <c:pt idx="7">
                  <c:v>181287.67</c:v>
                </c:pt>
                <c:pt idx="8">
                  <c:v>325723.37</c:v>
                </c:pt>
              </c:numCache>
            </c:numRef>
          </c:val>
          <c:extLst>
            <c:ext xmlns:c16="http://schemas.microsoft.com/office/drawing/2014/chart" uri="{C3380CC4-5D6E-409C-BE32-E72D297353CC}">
              <c16:uniqueId val="{00000002-5E47-4A6A-97C3-FFCAE298FB6B}"/>
            </c:ext>
          </c:extLst>
        </c:ser>
        <c:ser>
          <c:idx val="3"/>
          <c:order val="3"/>
          <c:tx>
            <c:strRef>
              <c:f>'Landfill Waste Origin'!$B$49</c:f>
              <c:strCache>
                <c:ptCount val="1"/>
                <c:pt idx="0">
                  <c:v>Lincoln</c:v>
                </c:pt>
              </c:strCache>
            </c:strRef>
          </c:tx>
          <c:spPr>
            <a:solidFill>
              <a:schemeClr val="accent4"/>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Origin'!$C$49:$K$49</c:f>
              <c:numCache>
                <c:formatCode>#,##0.00</c:formatCode>
                <c:ptCount val="9"/>
                <c:pt idx="0">
                  <c:v>41644.839999999997</c:v>
                </c:pt>
                <c:pt idx="1">
                  <c:v>39706.120000000003</c:v>
                </c:pt>
                <c:pt idx="2">
                  <c:v>42453.46</c:v>
                </c:pt>
                <c:pt idx="3">
                  <c:v>27064.87</c:v>
                </c:pt>
                <c:pt idx="4">
                  <c:v>29709.29</c:v>
                </c:pt>
                <c:pt idx="5">
                  <c:v>68304.08</c:v>
                </c:pt>
                <c:pt idx="6">
                  <c:v>96900.05</c:v>
                </c:pt>
                <c:pt idx="7">
                  <c:v>90798.92</c:v>
                </c:pt>
                <c:pt idx="8">
                  <c:v>114586.4</c:v>
                </c:pt>
              </c:numCache>
            </c:numRef>
          </c:val>
          <c:extLst>
            <c:ext xmlns:c16="http://schemas.microsoft.com/office/drawing/2014/chart" uri="{C3380CC4-5D6E-409C-BE32-E72D297353CC}">
              <c16:uniqueId val="{00000003-5E47-4A6A-97C3-FFCAE298FB6B}"/>
            </c:ext>
          </c:extLst>
        </c:ser>
        <c:ser>
          <c:idx val="4"/>
          <c:order val="4"/>
          <c:tx>
            <c:strRef>
              <c:f>'Landfill Waste Origin'!$B$50</c:f>
              <c:strCache>
                <c:ptCount val="1"/>
                <c:pt idx="0">
                  <c:v>Washington</c:v>
                </c:pt>
              </c:strCache>
            </c:strRef>
          </c:tx>
          <c:spPr>
            <a:solidFill>
              <a:schemeClr val="accent5"/>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Origin'!$C$50:$K$50</c:f>
              <c:numCache>
                <c:formatCode>#,##0.00</c:formatCode>
                <c:ptCount val="9"/>
                <c:pt idx="0">
                  <c:v>49549.42</c:v>
                </c:pt>
                <c:pt idx="1">
                  <c:v>46377.94</c:v>
                </c:pt>
                <c:pt idx="2">
                  <c:v>48651.54</c:v>
                </c:pt>
                <c:pt idx="3">
                  <c:v>48934.17</c:v>
                </c:pt>
                <c:pt idx="4">
                  <c:v>254031.08</c:v>
                </c:pt>
                <c:pt idx="5">
                  <c:v>275033.90999999997</c:v>
                </c:pt>
                <c:pt idx="6">
                  <c:v>249386.97</c:v>
                </c:pt>
                <c:pt idx="7">
                  <c:v>80361</c:v>
                </c:pt>
                <c:pt idx="8">
                  <c:v>36105.85</c:v>
                </c:pt>
              </c:numCache>
            </c:numRef>
          </c:val>
          <c:extLst>
            <c:ext xmlns:c16="http://schemas.microsoft.com/office/drawing/2014/chart" uri="{C3380CC4-5D6E-409C-BE32-E72D297353CC}">
              <c16:uniqueId val="{00000004-5E47-4A6A-97C3-FFCAE298FB6B}"/>
            </c:ext>
          </c:extLst>
        </c:ser>
        <c:ser>
          <c:idx val="5"/>
          <c:order val="5"/>
          <c:tx>
            <c:strRef>
              <c:f>'Landfill Waste Origin'!$B$51</c:f>
              <c:strCache>
                <c:ptCount val="1"/>
                <c:pt idx="0">
                  <c:v>Metro</c:v>
                </c:pt>
              </c:strCache>
            </c:strRef>
          </c:tx>
          <c:spPr>
            <a:solidFill>
              <a:schemeClr val="accent6"/>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Origin'!$C$51:$K$51</c:f>
              <c:numCache>
                <c:formatCode>#,##0.00</c:formatCode>
                <c:ptCount val="9"/>
                <c:pt idx="0">
                  <c:v>18107.52</c:v>
                </c:pt>
                <c:pt idx="1">
                  <c:v>25900.02</c:v>
                </c:pt>
                <c:pt idx="2">
                  <c:v>33443.019999999997</c:v>
                </c:pt>
                <c:pt idx="3">
                  <c:v>43504.549999999996</c:v>
                </c:pt>
                <c:pt idx="4">
                  <c:v>49902.539999999994</c:v>
                </c:pt>
                <c:pt idx="5">
                  <c:v>52043.94</c:v>
                </c:pt>
                <c:pt idx="6">
                  <c:v>43663.53</c:v>
                </c:pt>
                <c:pt idx="7">
                  <c:v>64281</c:v>
                </c:pt>
                <c:pt idx="8">
                  <c:v>83068.2</c:v>
                </c:pt>
              </c:numCache>
            </c:numRef>
          </c:val>
          <c:extLst>
            <c:ext xmlns:c16="http://schemas.microsoft.com/office/drawing/2014/chart" uri="{C3380CC4-5D6E-409C-BE32-E72D297353CC}">
              <c16:uniqueId val="{00000005-5E47-4A6A-97C3-FFCAE298FB6B}"/>
            </c:ext>
          </c:extLst>
        </c:ser>
        <c:ser>
          <c:idx val="6"/>
          <c:order val="6"/>
          <c:tx>
            <c:strRef>
              <c:f>'Landfill Waste Origin'!$B$52</c:f>
              <c:strCache>
                <c:ptCount val="1"/>
                <c:pt idx="0">
                  <c:v>Yamhill</c:v>
                </c:pt>
              </c:strCache>
            </c:strRef>
          </c:tx>
          <c:spPr>
            <a:solidFill>
              <a:schemeClr val="accent1">
                <a:lumMod val="60000"/>
              </a:schemeClr>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Origin'!$C$52:$K$52</c:f>
              <c:numCache>
                <c:formatCode>#,##0.00</c:formatCode>
                <c:ptCount val="9"/>
                <c:pt idx="0">
                  <c:v>14.4</c:v>
                </c:pt>
                <c:pt idx="1">
                  <c:v>3.95</c:v>
                </c:pt>
                <c:pt idx="2" formatCode="General">
                  <c:v>0</c:v>
                </c:pt>
                <c:pt idx="3">
                  <c:v>107.49</c:v>
                </c:pt>
                <c:pt idx="4">
                  <c:v>36945.71</c:v>
                </c:pt>
                <c:pt idx="5">
                  <c:v>38538.35</c:v>
                </c:pt>
                <c:pt idx="6">
                  <c:v>42182.43</c:v>
                </c:pt>
                <c:pt idx="7">
                  <c:v>25917.47</c:v>
                </c:pt>
                <c:pt idx="8">
                  <c:v>52124.82</c:v>
                </c:pt>
              </c:numCache>
            </c:numRef>
          </c:val>
          <c:extLst>
            <c:ext xmlns:c16="http://schemas.microsoft.com/office/drawing/2014/chart" uri="{C3380CC4-5D6E-409C-BE32-E72D297353CC}">
              <c16:uniqueId val="{00000006-5E47-4A6A-97C3-FFCAE298FB6B}"/>
            </c:ext>
          </c:extLst>
        </c:ser>
        <c:ser>
          <c:idx val="7"/>
          <c:order val="7"/>
          <c:tx>
            <c:strRef>
              <c:f>'Landfill Waste Origin'!$B$53</c:f>
              <c:strCache>
                <c:ptCount val="1"/>
                <c:pt idx="0">
                  <c:v>Other</c:v>
                </c:pt>
              </c:strCache>
            </c:strRef>
          </c:tx>
          <c:spPr>
            <a:solidFill>
              <a:schemeClr val="accent2">
                <a:lumMod val="60000"/>
              </a:schemeClr>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Origin'!$C$53:$K$53</c:f>
              <c:numCache>
                <c:formatCode>#,##0.00</c:formatCode>
                <c:ptCount val="9"/>
                <c:pt idx="0">
                  <c:v>90615.479999999981</c:v>
                </c:pt>
                <c:pt idx="1">
                  <c:v>112121.01000000013</c:v>
                </c:pt>
                <c:pt idx="2">
                  <c:v>116533.57</c:v>
                </c:pt>
                <c:pt idx="3">
                  <c:v>129274.08000000007</c:v>
                </c:pt>
                <c:pt idx="4">
                  <c:v>174453.80999999994</c:v>
                </c:pt>
                <c:pt idx="5">
                  <c:v>209750.15000000002</c:v>
                </c:pt>
                <c:pt idx="6">
                  <c:v>211539.55999999994</c:v>
                </c:pt>
                <c:pt idx="7">
                  <c:v>179741.77000000025</c:v>
                </c:pt>
                <c:pt idx="8">
                  <c:v>176924.78000000026</c:v>
                </c:pt>
              </c:numCache>
            </c:numRef>
          </c:val>
          <c:extLst>
            <c:ext xmlns:c16="http://schemas.microsoft.com/office/drawing/2014/chart" uri="{C3380CC4-5D6E-409C-BE32-E72D297353CC}">
              <c16:uniqueId val="{00000007-5E47-4A6A-97C3-FFCAE298FB6B}"/>
            </c:ext>
          </c:extLst>
        </c:ser>
        <c:dLbls>
          <c:showLegendKey val="0"/>
          <c:showVal val="0"/>
          <c:showCatName val="0"/>
          <c:showSerName val="0"/>
          <c:showPercent val="0"/>
          <c:showBubbleSize val="0"/>
        </c:dLbls>
        <c:gapWidth val="150"/>
        <c:overlap val="100"/>
        <c:axId val="515130280"/>
        <c:axId val="515128968"/>
      </c:barChart>
      <c:catAx>
        <c:axId val="515130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28968"/>
        <c:crosses val="autoZero"/>
        <c:auto val="1"/>
        <c:lblAlgn val="ctr"/>
        <c:lblOffset val="100"/>
        <c:noMultiLvlLbl val="0"/>
      </c:catAx>
      <c:valAx>
        <c:axId val="515128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Annual</a:t>
                </a:r>
                <a:r>
                  <a:rPr lang="en-US" baseline="0"/>
                  <a:t> Tonnage (Tons)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0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Coffin Butte Landfill Reported Airspace (2001-2021)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'Coffin Butte Landfill Capacity'!$A$44</c:f>
              <c:strCache>
                <c:ptCount val="1"/>
                <c:pt idx="0">
                  <c:v>Airspace Remaining (Cubic Yards)</c:v>
                </c:pt>
              </c:strCache>
            </c:strRef>
          </c:tx>
          <c:spPr>
            <a:ln w="28575" cap="rnd">
              <a:solidFill>
                <a:schemeClr val="accent1"/>
              </a:solidFill>
              <a:round/>
            </a:ln>
            <a:effectLst/>
          </c:spPr>
          <c:marker>
            <c:symbol val="none"/>
          </c:marker>
          <c:cat>
            <c:numRef>
              <c:f>'Coffin Butte Landfill Capacity'!$J$43:$AD$43</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'Coffin Butte Landfill Capacity'!$J$44:$AD$44</c:f>
              <c:numCache>
                <c:formatCode>#,##0</c:formatCode>
                <c:ptCount val="21"/>
                <c:pt idx="0">
                  <c:v>25238000</c:v>
                </c:pt>
                <c:pt idx="1">
                  <c:v>24776627</c:v>
                </c:pt>
                <c:pt idx="2">
                  <c:v>24209320</c:v>
                </c:pt>
                <c:pt idx="3">
                  <c:v>30641489</c:v>
                </c:pt>
                <c:pt idx="4">
                  <c:v>29916144</c:v>
                </c:pt>
                <c:pt idx="5">
                  <c:v>29135051</c:v>
                </c:pt>
                <c:pt idx="6">
                  <c:v>28451306</c:v>
                </c:pt>
                <c:pt idx="7">
                  <c:v>27785082</c:v>
                </c:pt>
                <c:pt idx="8">
                  <c:v>27136259</c:v>
                </c:pt>
                <c:pt idx="9">
                  <c:v>27382241</c:v>
                </c:pt>
                <c:pt idx="10">
                  <c:v>24807718</c:v>
                </c:pt>
                <c:pt idx="11">
                  <c:v>23741813</c:v>
                </c:pt>
                <c:pt idx="12">
                  <c:v>24458567</c:v>
                </c:pt>
                <c:pt idx="13">
                  <c:v>24458363</c:v>
                </c:pt>
                <c:pt idx="14">
                  <c:v>23839138</c:v>
                </c:pt>
                <c:pt idx="15">
                  <c:v>22453729</c:v>
                </c:pt>
                <c:pt idx="16">
                  <c:v>21727371</c:v>
                </c:pt>
                <c:pt idx="17">
                  <c:v>20427503</c:v>
                </c:pt>
                <c:pt idx="18">
                  <c:v>18352257</c:v>
                </c:pt>
                <c:pt idx="19">
                  <c:v>17621208</c:v>
                </c:pt>
                <c:pt idx="20">
                  <c:v>17249778</c:v>
                </c:pt>
              </c:numCache>
            </c:numRef>
          </c:val>
          <c:smooth val="0"/>
          <c:extLst>
            <c:ext xmlns:c16="http://schemas.microsoft.com/office/drawing/2014/chart" uri="{C3380CC4-5D6E-409C-BE32-E72D297353CC}">
              <c16:uniqueId val="{00000000-37E3-4691-8DB7-FEBBD9D2F949}"/>
            </c:ext>
          </c:extLst>
        </c:ser>
        <c:ser>
          <c:idx val="1"/>
          <c:order val="1"/>
          <c:tx>
            <c:strRef>
              <c:f>'Coffin Butte Landfill Capacity'!$A$45</c:f>
              <c:strCache>
                <c:ptCount val="1"/>
                <c:pt idx="0">
                  <c:v>Total Permitted Airspace (Cubic Yards)</c:v>
                </c:pt>
              </c:strCache>
            </c:strRef>
          </c:tx>
          <c:spPr>
            <a:ln w="28575" cap="rnd">
              <a:solidFill>
                <a:schemeClr val="accent2"/>
              </a:solidFill>
              <a:round/>
            </a:ln>
            <a:effectLst/>
          </c:spPr>
          <c:marker>
            <c:symbol val="none"/>
          </c:marker>
          <c:cat>
            <c:numRef>
              <c:f>'Coffin Butte Landfill Capacity'!$J$43:$AD$43</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'Coffin Butte Landfill Capacity'!$J$45:$AD$45</c:f>
              <c:numCache>
                <c:formatCode>General</c:formatCode>
                <c:ptCount val="21"/>
                <c:pt idx="3" formatCode="#,##0">
                  <c:v>39594002</c:v>
                </c:pt>
                <c:pt idx="4" formatCode="#,##0">
                  <c:v>39594002</c:v>
                </c:pt>
                <c:pt idx="5" formatCode="#,##0">
                  <c:v>39594002</c:v>
                </c:pt>
                <c:pt idx="6" formatCode="#,##0">
                  <c:v>39594002</c:v>
                </c:pt>
                <c:pt idx="7" formatCode="#,##0">
                  <c:v>39594002</c:v>
                </c:pt>
                <c:pt idx="8" formatCode="#,##0">
                  <c:v>39594002</c:v>
                </c:pt>
                <c:pt idx="9" formatCode="#,##0">
                  <c:v>39594002</c:v>
                </c:pt>
                <c:pt idx="10" formatCode="#,##0">
                  <c:v>39594002</c:v>
                </c:pt>
                <c:pt idx="11" formatCode="#,##0">
                  <c:v>39594002</c:v>
                </c:pt>
                <c:pt idx="12" formatCode="#,##0">
                  <c:v>39172992</c:v>
                </c:pt>
                <c:pt idx="13" formatCode="#,##0">
                  <c:v>39172992</c:v>
                </c:pt>
                <c:pt idx="14" formatCode="#,##0">
                  <c:v>39165357</c:v>
                </c:pt>
                <c:pt idx="15" formatCode="#,##0">
                  <c:v>39160173</c:v>
                </c:pt>
                <c:pt idx="16" formatCode="#,##0">
                  <c:v>39148003</c:v>
                </c:pt>
                <c:pt idx="17" formatCode="#,##0">
                  <c:v>39141412</c:v>
                </c:pt>
                <c:pt idx="18" formatCode="#,##0">
                  <c:v>38440461</c:v>
                </c:pt>
                <c:pt idx="19" formatCode="#,##0">
                  <c:v>38443830</c:v>
                </c:pt>
                <c:pt idx="20" formatCode="#,##0">
                  <c:v>38639545</c:v>
                </c:pt>
              </c:numCache>
            </c:numRef>
          </c:val>
          <c:smooth val="0"/>
          <c:extLst>
            <c:ext xmlns:c16="http://schemas.microsoft.com/office/drawing/2014/chart" uri="{C3380CC4-5D6E-409C-BE32-E72D297353CC}">
              <c16:uniqueId val="{00000001-37E3-4691-8DB7-FEBBD9D2F949}"/>
            </c:ext>
          </c:extLst>
        </c:ser>
        <c:dLbls>
          <c:showLegendKey val="0"/>
          <c:showVal val="0"/>
          <c:showCatName val="0"/>
          <c:showSerName val="0"/>
          <c:showPercent val="0"/>
          <c:showBubbleSize val="0"/>
        </c:dLbls>
        <c:smooth val="0"/>
        <c:axId val="529555272"/>
        <c:axId val="529554944"/>
      </c:lineChart>
      <c:catAx>
        <c:axId val="529555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554944"/>
        <c:crosses val="autoZero"/>
        <c:auto val="1"/>
        <c:lblAlgn val="ctr"/>
        <c:lblOffset val="100"/>
        <c:noMultiLvlLbl val="0"/>
      </c:catAx>
      <c:valAx>
        <c:axId val="529554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Cubic Yards (CY)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555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r>
              <a:rPr lang="en-US" sz="1800" b="1" i="0" baseline="0">
                <a:solidFill>
                  <a:sysClr val="windowText" lastClr="000000"/>
                </a:solidFill>
              </a:rPr>
              <a:t>Coffin Butte Landfill Intake Tonnage (Tons/yr)</a:t>
            </a:r>
          </a:p>
        </c:rich>
      </c:tx>
      <c:overlay val="0"/>
      <c:spPr>
        <a:noFill/>
        <a:ln>
          <a:noFill/>
        </a:ln>
        <a:effectLst/>
      </c:spPr>
      <c:txPr>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1"/>
          <c:order val="0"/>
          <c:tx>
            <c:v>Tons Disposed</c:v>
          </c:tx>
          <c:spPr>
            <a:solidFill>
              <a:schemeClr val="accent2"/>
            </a:solidFill>
            <a:ln>
              <a:noFill/>
            </a:ln>
            <a:effectLst/>
          </c:spPr>
          <c:invertIfNegative val="0"/>
          <c:cat>
            <c:numRef>
              <c:f>LandfillVolCBAR!$B$7:$B$35</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LandfillVolCBAR!$C$7:$C$35</c:f>
              <c:numCache>
                <c:formatCode>#,##0</c:formatCode>
                <c:ptCount val="29"/>
                <c:pt idx="0">
                  <c:v>310648</c:v>
                </c:pt>
                <c:pt idx="1">
                  <c:v>268472</c:v>
                </c:pt>
                <c:pt idx="2">
                  <c:v>287932</c:v>
                </c:pt>
                <c:pt idx="3">
                  <c:v>369835</c:v>
                </c:pt>
                <c:pt idx="4">
                  <c:v>378919</c:v>
                </c:pt>
                <c:pt idx="5">
                  <c:v>395751</c:v>
                </c:pt>
                <c:pt idx="6">
                  <c:v>401408</c:v>
                </c:pt>
                <c:pt idx="7">
                  <c:v>413493</c:v>
                </c:pt>
                <c:pt idx="8">
                  <c:v>425723</c:v>
                </c:pt>
                <c:pt idx="9">
                  <c:v>453261</c:v>
                </c:pt>
                <c:pt idx="10">
                  <c:v>550506</c:v>
                </c:pt>
                <c:pt idx="11">
                  <c:v>586076</c:v>
                </c:pt>
                <c:pt idx="12">
                  <c:v>580275</c:v>
                </c:pt>
                <c:pt idx="13">
                  <c:v>618340</c:v>
                </c:pt>
                <c:pt idx="14">
                  <c:v>546996</c:v>
                </c:pt>
                <c:pt idx="15">
                  <c:v>528396</c:v>
                </c:pt>
                <c:pt idx="16">
                  <c:v>519058</c:v>
                </c:pt>
                <c:pt idx="17">
                  <c:v>458590</c:v>
                </c:pt>
                <c:pt idx="18">
                  <c:v>482951</c:v>
                </c:pt>
                <c:pt idx="19">
                  <c:v>473550</c:v>
                </c:pt>
                <c:pt idx="20">
                  <c:v>479160</c:v>
                </c:pt>
                <c:pt idx="21">
                  <c:v>499687</c:v>
                </c:pt>
                <c:pt idx="22">
                  <c:v>530971</c:v>
                </c:pt>
                <c:pt idx="23">
                  <c:v>552979</c:v>
                </c:pt>
                <c:pt idx="24">
                  <c:v>941430</c:v>
                </c:pt>
                <c:pt idx="25">
                  <c:v>1010879</c:v>
                </c:pt>
                <c:pt idx="26">
                  <c:v>1034934</c:v>
                </c:pt>
                <c:pt idx="27">
                  <c:v>863210</c:v>
                </c:pt>
                <c:pt idx="28">
                  <c:v>1046067</c:v>
                </c:pt>
              </c:numCache>
            </c:numRef>
          </c:val>
          <c:extLst>
            <c:ext xmlns:c16="http://schemas.microsoft.com/office/drawing/2014/chart" uri="{C3380CC4-5D6E-409C-BE32-E72D297353CC}">
              <c16:uniqueId val="{00000000-FB23-4B4C-87BE-D7BDD440D360}"/>
            </c:ext>
          </c:extLst>
        </c:ser>
        <c:dLbls>
          <c:showLegendKey val="0"/>
          <c:showVal val="0"/>
          <c:showCatName val="0"/>
          <c:showSerName val="0"/>
          <c:showPercent val="0"/>
          <c:showBubbleSize val="0"/>
        </c:dLbls>
        <c:gapWidth val="80"/>
        <c:overlap val="-27"/>
        <c:axId val="528989144"/>
        <c:axId val="528989536"/>
      </c:barChart>
      <c:lineChart>
        <c:grouping val="standard"/>
        <c:varyColors val="0"/>
        <c:ser>
          <c:idx val="2"/>
          <c:order val="1"/>
          <c:tx>
            <c:v>2000 FA Limit</c:v>
          </c:tx>
          <c:spPr>
            <a:ln w="19050" cap="rnd">
              <a:solidFill>
                <a:schemeClr val="accent1"/>
              </a:solidFill>
              <a:round/>
            </a:ln>
            <a:effectLst/>
          </c:spPr>
          <c:marker>
            <c:symbol val="circle"/>
            <c:size val="5"/>
            <c:spPr>
              <a:solidFill>
                <a:schemeClr val="accent1"/>
              </a:solidFill>
              <a:ln w="9525">
                <a:solidFill>
                  <a:schemeClr val="accent3"/>
                </a:solidFill>
              </a:ln>
              <a:effectLst/>
            </c:spPr>
          </c:marker>
          <c:cat>
            <c:numRef>
              <c:f>LandfillVolCBAR!$B$7:$B$36</c:f>
              <c:numCache>
                <c:formatCode>General</c:formatCode>
                <c:ptCount val="30"/>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pt idx="29">
                  <c:v>2022</c:v>
                </c:pt>
              </c:numCache>
            </c:numRef>
          </c:cat>
          <c:val>
            <c:numRef>
              <c:f>LandfillVolCBAR!$D$7:$D$35</c:f>
              <c:numCache>
                <c:formatCode>General</c:formatCode>
                <c:ptCount val="29"/>
                <c:pt idx="0">
                  <c:v>#N/A</c:v>
                </c:pt>
                <c:pt idx="1">
                  <c:v>#N/A</c:v>
                </c:pt>
                <c:pt idx="2">
                  <c:v>#N/A</c:v>
                </c:pt>
                <c:pt idx="3">
                  <c:v>#N/A</c:v>
                </c:pt>
                <c:pt idx="4">
                  <c:v>#N/A</c:v>
                </c:pt>
                <c:pt idx="5">
                  <c:v>#N/A</c:v>
                </c:pt>
                <c:pt idx="6">
                  <c:v>#N/A</c:v>
                </c:pt>
                <c:pt idx="7">
                  <c:v>#N/A</c:v>
                </c:pt>
                <c:pt idx="8" formatCode="#,##0">
                  <c:v>600000</c:v>
                </c:pt>
                <c:pt idx="9" formatCode="#,##0">
                  <c:v>612000</c:v>
                </c:pt>
                <c:pt idx="10" formatCode="#,##0">
                  <c:v>624240</c:v>
                </c:pt>
                <c:pt idx="11" formatCode="#,##0">
                  <c:v>636724.80000000005</c:v>
                </c:pt>
                <c:pt idx="12" formatCode="#,##0">
                  <c:v>649459.29600000009</c:v>
                </c:pt>
                <c:pt idx="13" formatCode="#,##0">
                  <c:v>662448.48192000005</c:v>
                </c:pt>
                <c:pt idx="14" formatCode="#,##0">
                  <c:v>675697.45155840006</c:v>
                </c:pt>
                <c:pt idx="15" formatCode="#,##0">
                  <c:v>689211.40058956807</c:v>
                </c:pt>
                <c:pt idx="16" formatCode="#,##0">
                  <c:v>702995.62860135944</c:v>
                </c:pt>
                <c:pt idx="17" formatCode="#,##0">
                  <c:v>717055.54117338662</c:v>
                </c:pt>
                <c:pt idx="18" formatCode="#,##0">
                  <c:v>731396.65199685434</c:v>
                </c:pt>
                <c:pt idx="19" formatCode="#,##0">
                  <c:v>746024.5850367914</c:v>
                </c:pt>
                <c:pt idx="20" formatCode="#,##0">
                  <c:v>760945.07673752727</c:v>
                </c:pt>
                <c:pt idx="21" formatCode="#,##0">
                  <c:v>776163.97827227786</c:v>
                </c:pt>
                <c:pt idx="22" formatCode="#,##0">
                  <c:v>791687.25783772347</c:v>
                </c:pt>
                <c:pt idx="23" formatCode="#,##0">
                  <c:v>807521.00299447798</c:v>
                </c:pt>
                <c:pt idx="24" formatCode="#,##0">
                  <c:v>823671.42305436754</c:v>
                </c:pt>
                <c:pt idx="25" formatCode="#,##0">
                  <c:v>840144.85151545494</c:v>
                </c:pt>
                <c:pt idx="26" formatCode="#,##0">
                  <c:v>856947.74854576401</c:v>
                </c:pt>
                <c:pt idx="27" formatCode="#,##0">
                  <c:v>874086.70351667935</c:v>
                </c:pt>
                <c:pt idx="28">
                  <c:v>#N/A</c:v>
                </c:pt>
              </c:numCache>
            </c:numRef>
          </c:val>
          <c:smooth val="0"/>
          <c:extLst>
            <c:ext xmlns:c16="http://schemas.microsoft.com/office/drawing/2014/chart" uri="{C3380CC4-5D6E-409C-BE32-E72D297353CC}">
              <c16:uniqueId val="{00000001-FB23-4B4C-87BE-D7BDD440D360}"/>
            </c:ext>
          </c:extLst>
        </c:ser>
        <c:dLbls>
          <c:showLegendKey val="0"/>
          <c:showVal val="0"/>
          <c:showCatName val="0"/>
          <c:showSerName val="0"/>
          <c:showPercent val="0"/>
          <c:showBubbleSize val="0"/>
        </c:dLbls>
        <c:marker val="1"/>
        <c:smooth val="0"/>
        <c:axId val="528989144"/>
        <c:axId val="528989536"/>
      </c:lineChart>
      <c:catAx>
        <c:axId val="528989144"/>
        <c:scaling>
          <c:orientation val="minMax"/>
        </c:scaling>
        <c:delete val="0"/>
        <c:axPos val="b"/>
        <c:title>
          <c:tx>
            <c:rich>
              <a:bodyPr rot="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r>
                  <a:rPr lang="en-US" sz="1200" b="1" i="1" baseline="0">
                    <a:solidFill>
                      <a:sysClr val="windowText" lastClr="000000"/>
                    </a:solidFill>
                  </a:rPr>
                  <a:t>Year</a:t>
                </a:r>
              </a:p>
            </c:rich>
          </c:tx>
          <c:layout>
            <c:manualLayout>
              <c:xMode val="edge"/>
              <c:yMode val="edge"/>
              <c:x val="0.47110090095515822"/>
              <c:y val="0.9455763110522758"/>
            </c:manualLayout>
          </c:layout>
          <c:overlay val="0"/>
          <c:spPr>
            <a:noFill/>
            <a:ln>
              <a:noFill/>
            </a:ln>
            <a:effectLst/>
          </c:spPr>
          <c:txPr>
            <a:bodyPr rot="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28989536"/>
        <c:crosses val="autoZero"/>
        <c:auto val="1"/>
        <c:lblAlgn val="ctr"/>
        <c:lblOffset val="100"/>
        <c:noMultiLvlLbl val="0"/>
      </c:catAx>
      <c:valAx>
        <c:axId val="528989536"/>
        <c:scaling>
          <c:orientation val="minMax"/>
          <c:max val="1200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r>
                  <a:rPr lang="en-US" sz="1200" b="1" i="1" baseline="0">
                    <a:solidFill>
                      <a:sysClr val="windowText" lastClr="000000"/>
                    </a:solidFill>
                  </a:rPr>
                  <a:t>Intake Tonnage (Tons/yr)</a:t>
                </a:r>
              </a:p>
            </c:rich>
          </c:tx>
          <c:overlay val="0"/>
          <c:spPr>
            <a:noFill/>
            <a:ln>
              <a:noFill/>
            </a:ln>
            <a:effectLst/>
          </c:spPr>
          <c:txPr>
            <a:bodyPr rot="-540000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28989144"/>
        <c:crosses val="autoZero"/>
        <c:crossBetween val="between"/>
        <c:majorUnit val="100000"/>
        <c:minorUnit val="50000"/>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Coffin Butte Waste Accepted by Major County (2013-2021)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'Landfill Waste Origin'!$B$46</c:f>
              <c:strCache>
                <c:ptCount val="1"/>
                <c:pt idx="0">
                  <c:v>Benton</c:v>
                </c:pt>
              </c:strCache>
            </c:strRef>
          </c:tx>
          <c:spPr>
            <a:solidFill>
              <a:schemeClr val="accent1"/>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Origin'!$C$46:$K$46</c:f>
              <c:numCache>
                <c:formatCode>#,##0.00</c:formatCode>
                <c:ptCount val="9"/>
                <c:pt idx="0">
                  <c:v>72619.679999999993</c:v>
                </c:pt>
                <c:pt idx="1">
                  <c:v>84749.119999999995</c:v>
                </c:pt>
                <c:pt idx="2">
                  <c:v>94847.86</c:v>
                </c:pt>
                <c:pt idx="3">
                  <c:v>79422.600000000006</c:v>
                </c:pt>
                <c:pt idx="4">
                  <c:v>146199.32</c:v>
                </c:pt>
                <c:pt idx="5">
                  <c:v>105813.5</c:v>
                </c:pt>
                <c:pt idx="6">
                  <c:v>101908.16</c:v>
                </c:pt>
                <c:pt idx="7">
                  <c:v>101526.2</c:v>
                </c:pt>
                <c:pt idx="8">
                  <c:v>114752.76</c:v>
                </c:pt>
              </c:numCache>
            </c:numRef>
          </c:val>
          <c:extLst>
            <c:ext xmlns:c16="http://schemas.microsoft.com/office/drawing/2014/chart" uri="{C3380CC4-5D6E-409C-BE32-E72D297353CC}">
              <c16:uniqueId val="{00000000-DD78-4D4D-80FF-5D7C7DDDC2C0}"/>
            </c:ext>
          </c:extLst>
        </c:ser>
        <c:ser>
          <c:idx val="1"/>
          <c:order val="1"/>
          <c:tx>
            <c:strRef>
              <c:f>'Landfill Waste Origin'!$B$47</c:f>
              <c:strCache>
                <c:ptCount val="1"/>
                <c:pt idx="0">
                  <c:v>Linn</c:v>
                </c:pt>
              </c:strCache>
            </c:strRef>
          </c:tx>
          <c:spPr>
            <a:solidFill>
              <a:schemeClr val="accent2"/>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Origin'!$C$47:$K$47</c:f>
              <c:numCache>
                <c:formatCode>#,##0.00</c:formatCode>
                <c:ptCount val="9"/>
                <c:pt idx="0">
                  <c:v>100662.27</c:v>
                </c:pt>
                <c:pt idx="1">
                  <c:v>105866.31</c:v>
                </c:pt>
                <c:pt idx="2">
                  <c:v>98173</c:v>
                </c:pt>
                <c:pt idx="3">
                  <c:v>107060.35</c:v>
                </c:pt>
                <c:pt idx="4">
                  <c:v>115718.18</c:v>
                </c:pt>
                <c:pt idx="5">
                  <c:v>122723.31</c:v>
                </c:pt>
                <c:pt idx="6">
                  <c:v>136324.04999999999</c:v>
                </c:pt>
                <c:pt idx="7">
                  <c:v>139295.70000000001</c:v>
                </c:pt>
                <c:pt idx="8">
                  <c:v>142780.78</c:v>
                </c:pt>
              </c:numCache>
            </c:numRef>
          </c:val>
          <c:extLst>
            <c:ext xmlns:c16="http://schemas.microsoft.com/office/drawing/2014/chart" uri="{C3380CC4-5D6E-409C-BE32-E72D297353CC}">
              <c16:uniqueId val="{00000001-DD78-4D4D-80FF-5D7C7DDDC2C0}"/>
            </c:ext>
          </c:extLst>
        </c:ser>
        <c:ser>
          <c:idx val="2"/>
          <c:order val="2"/>
          <c:tx>
            <c:strRef>
              <c:f>'Landfill Waste Origin'!$B$48</c:f>
              <c:strCache>
                <c:ptCount val="1"/>
                <c:pt idx="0">
                  <c:v>Marion</c:v>
                </c:pt>
              </c:strCache>
            </c:strRef>
          </c:tx>
          <c:spPr>
            <a:solidFill>
              <a:schemeClr val="accent3"/>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Origin'!$C$48:$K$48</c:f>
              <c:numCache>
                <c:formatCode>#,##0.00</c:formatCode>
                <c:ptCount val="9"/>
                <c:pt idx="0">
                  <c:v>105946.69</c:v>
                </c:pt>
                <c:pt idx="1">
                  <c:v>84963.23</c:v>
                </c:pt>
                <c:pt idx="2">
                  <c:v>96868.46</c:v>
                </c:pt>
                <c:pt idx="3">
                  <c:v>117610.42</c:v>
                </c:pt>
                <c:pt idx="4">
                  <c:v>134469.73000000001</c:v>
                </c:pt>
                <c:pt idx="5">
                  <c:v>138671.73000000001</c:v>
                </c:pt>
                <c:pt idx="6">
                  <c:v>153029.6</c:v>
                </c:pt>
                <c:pt idx="7">
                  <c:v>181287.67</c:v>
                </c:pt>
                <c:pt idx="8">
                  <c:v>325723.37</c:v>
                </c:pt>
              </c:numCache>
            </c:numRef>
          </c:val>
          <c:extLst>
            <c:ext xmlns:c16="http://schemas.microsoft.com/office/drawing/2014/chart" uri="{C3380CC4-5D6E-409C-BE32-E72D297353CC}">
              <c16:uniqueId val="{00000002-DD78-4D4D-80FF-5D7C7DDDC2C0}"/>
            </c:ext>
          </c:extLst>
        </c:ser>
        <c:ser>
          <c:idx val="3"/>
          <c:order val="3"/>
          <c:tx>
            <c:strRef>
              <c:f>'Landfill Waste Origin'!$B$49</c:f>
              <c:strCache>
                <c:ptCount val="1"/>
                <c:pt idx="0">
                  <c:v>Lincoln</c:v>
                </c:pt>
              </c:strCache>
            </c:strRef>
          </c:tx>
          <c:spPr>
            <a:solidFill>
              <a:schemeClr val="accent4"/>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Origin'!$C$49:$K$49</c:f>
              <c:numCache>
                <c:formatCode>#,##0.00</c:formatCode>
                <c:ptCount val="9"/>
                <c:pt idx="0">
                  <c:v>41644.839999999997</c:v>
                </c:pt>
                <c:pt idx="1">
                  <c:v>39706.120000000003</c:v>
                </c:pt>
                <c:pt idx="2">
                  <c:v>42453.46</c:v>
                </c:pt>
                <c:pt idx="3">
                  <c:v>27064.87</c:v>
                </c:pt>
                <c:pt idx="4">
                  <c:v>29709.29</c:v>
                </c:pt>
                <c:pt idx="5">
                  <c:v>68304.08</c:v>
                </c:pt>
                <c:pt idx="6">
                  <c:v>96900.05</c:v>
                </c:pt>
                <c:pt idx="7">
                  <c:v>90798.92</c:v>
                </c:pt>
                <c:pt idx="8">
                  <c:v>114586.4</c:v>
                </c:pt>
              </c:numCache>
            </c:numRef>
          </c:val>
          <c:extLst>
            <c:ext xmlns:c16="http://schemas.microsoft.com/office/drawing/2014/chart" uri="{C3380CC4-5D6E-409C-BE32-E72D297353CC}">
              <c16:uniqueId val="{00000003-DD78-4D4D-80FF-5D7C7DDDC2C0}"/>
            </c:ext>
          </c:extLst>
        </c:ser>
        <c:ser>
          <c:idx val="4"/>
          <c:order val="4"/>
          <c:tx>
            <c:strRef>
              <c:f>'Landfill Waste Origin'!$B$50</c:f>
              <c:strCache>
                <c:ptCount val="1"/>
                <c:pt idx="0">
                  <c:v>Washington</c:v>
                </c:pt>
              </c:strCache>
            </c:strRef>
          </c:tx>
          <c:spPr>
            <a:solidFill>
              <a:schemeClr val="accent5"/>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Origin'!$C$50:$K$50</c:f>
              <c:numCache>
                <c:formatCode>#,##0.00</c:formatCode>
                <c:ptCount val="9"/>
                <c:pt idx="0">
                  <c:v>49549.42</c:v>
                </c:pt>
                <c:pt idx="1">
                  <c:v>46377.94</c:v>
                </c:pt>
                <c:pt idx="2">
                  <c:v>48651.54</c:v>
                </c:pt>
                <c:pt idx="3">
                  <c:v>48934.17</c:v>
                </c:pt>
                <c:pt idx="4">
                  <c:v>254031.08</c:v>
                </c:pt>
                <c:pt idx="5">
                  <c:v>275033.90999999997</c:v>
                </c:pt>
                <c:pt idx="6">
                  <c:v>249386.97</c:v>
                </c:pt>
                <c:pt idx="7">
                  <c:v>80361</c:v>
                </c:pt>
                <c:pt idx="8">
                  <c:v>36105.85</c:v>
                </c:pt>
              </c:numCache>
            </c:numRef>
          </c:val>
          <c:extLst>
            <c:ext xmlns:c16="http://schemas.microsoft.com/office/drawing/2014/chart" uri="{C3380CC4-5D6E-409C-BE32-E72D297353CC}">
              <c16:uniqueId val="{00000004-DD78-4D4D-80FF-5D7C7DDDC2C0}"/>
            </c:ext>
          </c:extLst>
        </c:ser>
        <c:ser>
          <c:idx val="5"/>
          <c:order val="5"/>
          <c:tx>
            <c:strRef>
              <c:f>'Landfill Waste Origin'!$B$51</c:f>
              <c:strCache>
                <c:ptCount val="1"/>
                <c:pt idx="0">
                  <c:v>Metro</c:v>
                </c:pt>
              </c:strCache>
            </c:strRef>
          </c:tx>
          <c:spPr>
            <a:solidFill>
              <a:schemeClr val="accent6"/>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Origin'!$C$51:$K$51</c:f>
              <c:numCache>
                <c:formatCode>#,##0.00</c:formatCode>
                <c:ptCount val="9"/>
                <c:pt idx="0">
                  <c:v>18107.52</c:v>
                </c:pt>
                <c:pt idx="1">
                  <c:v>25900.02</c:v>
                </c:pt>
                <c:pt idx="2">
                  <c:v>33443.019999999997</c:v>
                </c:pt>
                <c:pt idx="3">
                  <c:v>43504.549999999996</c:v>
                </c:pt>
                <c:pt idx="4">
                  <c:v>49902.539999999994</c:v>
                </c:pt>
                <c:pt idx="5">
                  <c:v>52043.94</c:v>
                </c:pt>
                <c:pt idx="6">
                  <c:v>43663.53</c:v>
                </c:pt>
                <c:pt idx="7">
                  <c:v>64281</c:v>
                </c:pt>
                <c:pt idx="8">
                  <c:v>83068.2</c:v>
                </c:pt>
              </c:numCache>
            </c:numRef>
          </c:val>
          <c:extLst>
            <c:ext xmlns:c16="http://schemas.microsoft.com/office/drawing/2014/chart" uri="{C3380CC4-5D6E-409C-BE32-E72D297353CC}">
              <c16:uniqueId val="{00000005-DD78-4D4D-80FF-5D7C7DDDC2C0}"/>
            </c:ext>
          </c:extLst>
        </c:ser>
        <c:ser>
          <c:idx val="6"/>
          <c:order val="6"/>
          <c:tx>
            <c:strRef>
              <c:f>'Landfill Waste Origin'!$B$52</c:f>
              <c:strCache>
                <c:ptCount val="1"/>
                <c:pt idx="0">
                  <c:v>Yamhill</c:v>
                </c:pt>
              </c:strCache>
            </c:strRef>
          </c:tx>
          <c:spPr>
            <a:solidFill>
              <a:schemeClr val="accent1">
                <a:lumMod val="60000"/>
              </a:schemeClr>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Origin'!$C$52:$K$52</c:f>
              <c:numCache>
                <c:formatCode>#,##0.00</c:formatCode>
                <c:ptCount val="9"/>
                <c:pt idx="0">
                  <c:v>14.4</c:v>
                </c:pt>
                <c:pt idx="1">
                  <c:v>3.95</c:v>
                </c:pt>
                <c:pt idx="2" formatCode="General">
                  <c:v>0</c:v>
                </c:pt>
                <c:pt idx="3">
                  <c:v>107.49</c:v>
                </c:pt>
                <c:pt idx="4">
                  <c:v>36945.71</c:v>
                </c:pt>
                <c:pt idx="5">
                  <c:v>38538.35</c:v>
                </c:pt>
                <c:pt idx="6">
                  <c:v>42182.43</c:v>
                </c:pt>
                <c:pt idx="7">
                  <c:v>25917.47</c:v>
                </c:pt>
                <c:pt idx="8">
                  <c:v>52124.82</c:v>
                </c:pt>
              </c:numCache>
            </c:numRef>
          </c:val>
          <c:extLst>
            <c:ext xmlns:c16="http://schemas.microsoft.com/office/drawing/2014/chart" uri="{C3380CC4-5D6E-409C-BE32-E72D297353CC}">
              <c16:uniqueId val="{00000006-DD78-4D4D-80FF-5D7C7DDDC2C0}"/>
            </c:ext>
          </c:extLst>
        </c:ser>
        <c:ser>
          <c:idx val="7"/>
          <c:order val="7"/>
          <c:tx>
            <c:strRef>
              <c:f>'Landfill Waste Origin'!$B$53</c:f>
              <c:strCache>
                <c:ptCount val="1"/>
                <c:pt idx="0">
                  <c:v>Other</c:v>
                </c:pt>
              </c:strCache>
            </c:strRef>
          </c:tx>
          <c:spPr>
            <a:solidFill>
              <a:schemeClr val="accent2">
                <a:lumMod val="60000"/>
              </a:schemeClr>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Origin'!$C$53:$K$53</c:f>
              <c:numCache>
                <c:formatCode>#,##0.00</c:formatCode>
                <c:ptCount val="9"/>
                <c:pt idx="0">
                  <c:v>90615.479999999981</c:v>
                </c:pt>
                <c:pt idx="1">
                  <c:v>112121.01000000013</c:v>
                </c:pt>
                <c:pt idx="2">
                  <c:v>116533.57</c:v>
                </c:pt>
                <c:pt idx="3">
                  <c:v>129274.08000000007</c:v>
                </c:pt>
                <c:pt idx="4">
                  <c:v>174453.80999999994</c:v>
                </c:pt>
                <c:pt idx="5">
                  <c:v>209750.15000000002</c:v>
                </c:pt>
                <c:pt idx="6">
                  <c:v>211539.55999999994</c:v>
                </c:pt>
                <c:pt idx="7">
                  <c:v>179741.77000000025</c:v>
                </c:pt>
                <c:pt idx="8">
                  <c:v>176924.78000000026</c:v>
                </c:pt>
              </c:numCache>
            </c:numRef>
          </c:val>
          <c:extLst>
            <c:ext xmlns:c16="http://schemas.microsoft.com/office/drawing/2014/chart" uri="{C3380CC4-5D6E-409C-BE32-E72D297353CC}">
              <c16:uniqueId val="{00000007-DD78-4D4D-80FF-5D7C7DDDC2C0}"/>
            </c:ext>
          </c:extLst>
        </c:ser>
        <c:dLbls>
          <c:showLegendKey val="0"/>
          <c:showVal val="0"/>
          <c:showCatName val="0"/>
          <c:showSerName val="0"/>
          <c:showPercent val="0"/>
          <c:showBubbleSize val="0"/>
        </c:dLbls>
        <c:gapWidth val="150"/>
        <c:overlap val="100"/>
        <c:axId val="515130280"/>
        <c:axId val="515128968"/>
      </c:barChart>
      <c:catAx>
        <c:axId val="515130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28968"/>
        <c:crosses val="autoZero"/>
        <c:auto val="1"/>
        <c:lblAlgn val="ctr"/>
        <c:lblOffset val="100"/>
        <c:noMultiLvlLbl val="0"/>
      </c:catAx>
      <c:valAx>
        <c:axId val="515128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Annual</a:t>
                </a:r>
                <a:r>
                  <a:rPr lang="en-US" baseline="0"/>
                  <a:t> Tonnage (Tons)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0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Reported </a:t>
            </a:r>
            <a:r>
              <a:rPr lang="en-US" sz="1400" b="0" i="0" u="none" strike="noStrike" baseline="0">
                <a:effectLst/>
              </a:rPr>
              <a:t>Year of Reaching </a:t>
            </a:r>
            <a:r>
              <a:rPr lang="en-US"/>
              <a:t>Estimated</a:t>
            </a:r>
            <a:r>
              <a:rPr lang="en-US" baseline="0"/>
              <a:t> Landfill Capacity  (1998-2022)</a:t>
            </a:r>
            <a:endParaRPr lang="en-US"/>
          </a:p>
        </c:rich>
      </c:tx>
      <c:overlay val="0"/>
      <c:spPr>
        <a:noFill/>
        <a:ln>
          <a:noFill/>
        </a:ln>
        <a:effectLst/>
      </c:spPr>
    </c:title>
    <c:autoTitleDeleted val="0"/>
    <c:plotArea>
      <c:layout/>
      <c:barChart>
        <c:barDir val="col"/>
        <c:grouping val="clustered"/>
        <c:varyColors val="0"/>
        <c:ser>
          <c:idx val="0"/>
          <c:order val="0"/>
          <c:tx>
            <c:strRef>
              <c:f>'Coffin Butte Landfill Capacity'!$A$36</c:f>
              <c:strCache>
                <c:ptCount val="1"/>
                <c:pt idx="0">
                  <c:v>Estimated Year Capacity is Reached (Upper)</c:v>
                </c:pt>
              </c:strCache>
            </c:strRef>
          </c:tx>
          <c:spPr>
            <a:ln w="28575" cap="rnd">
              <a:solidFill>
                <a:schemeClr val="accent1"/>
              </a:solidFill>
              <a:round/>
            </a:ln>
            <a:effectLst/>
          </c:spPr>
          <c:invertIfNegative val="0"/>
          <c:cat>
            <c:numRef>
              <c:f>'Coffin Butte Landfill Capacity'!$G$4:$AE$4</c:f>
              <c:numCache>
                <c:formatCode>General</c:formatCode>
                <c:ptCount val="25"/>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numCache>
            </c:numRef>
          </c:cat>
          <c:val>
            <c:numRef>
              <c:f>'Coffin Butte Landfill Capacity'!$G$36:$AE$36</c:f>
              <c:numCache>
                <c:formatCode>0</c:formatCode>
                <c:ptCount val="25"/>
                <c:pt idx="0">
                  <c:v>2066.1</c:v>
                </c:pt>
                <c:pt idx="1">
                  <c:v>2078.5</c:v>
                </c:pt>
                <c:pt idx="3">
                  <c:v>2048.5</c:v>
                </c:pt>
                <c:pt idx="4">
                  <c:v>2046.1</c:v>
                </c:pt>
                <c:pt idx="5">
                  <c:v>2046.1</c:v>
                </c:pt>
                <c:pt idx="6">
                  <c:v>2044.9</c:v>
                </c:pt>
                <c:pt idx="7">
                  <c:v>2044.9</c:v>
                </c:pt>
                <c:pt idx="8">
                  <c:v>2044.9</c:v>
                </c:pt>
                <c:pt idx="9">
                  <c:v>2044.9</c:v>
                </c:pt>
                <c:pt idx="10">
                  <c:v>2045.1</c:v>
                </c:pt>
                <c:pt idx="11">
                  <c:v>2045.2</c:v>
                </c:pt>
                <c:pt idx="12">
                  <c:v>2052.19</c:v>
                </c:pt>
                <c:pt idx="13">
                  <c:v>2055.5300000000002</c:v>
                </c:pt>
                <c:pt idx="14">
                  <c:v>2054.2600000000002</c:v>
                </c:pt>
                <c:pt idx="15">
                  <c:v>2061.7600000000002</c:v>
                </c:pt>
                <c:pt idx="16">
                  <c:v>2061.94</c:v>
                </c:pt>
                <c:pt idx="17">
                  <c:v>2056.8000000000002</c:v>
                </c:pt>
                <c:pt idx="18">
                  <c:v>2057.02</c:v>
                </c:pt>
                <c:pt idx="19">
                  <c:v>2055.27</c:v>
                </c:pt>
                <c:pt idx="20">
                  <c:v>2048.27</c:v>
                </c:pt>
                <c:pt idx="21">
                  <c:v>2044.98</c:v>
                </c:pt>
                <c:pt idx="22">
                  <c:v>2041.85</c:v>
                </c:pt>
                <c:pt idx="23">
                  <c:v>2042.38</c:v>
                </c:pt>
                <c:pt idx="24">
                  <c:v>2037.99</c:v>
                </c:pt>
              </c:numCache>
            </c:numRef>
          </c:val>
          <c:extLst>
            <c:ext xmlns:c16="http://schemas.microsoft.com/office/drawing/2014/chart" uri="{C3380CC4-5D6E-409C-BE32-E72D297353CC}">
              <c16:uniqueId val="{00000000-F75A-4C8A-813B-3EE3B59A487F}"/>
            </c:ext>
          </c:extLst>
        </c:ser>
        <c:ser>
          <c:idx val="1"/>
          <c:order val="1"/>
          <c:tx>
            <c:strRef>
              <c:f>'Coffin Butte Landfill Capacity'!$A$37</c:f>
              <c:strCache>
                <c:ptCount val="1"/>
                <c:pt idx="0">
                  <c:v>Estimated Year  Capacity is Reached (Lower)</c:v>
                </c:pt>
              </c:strCache>
            </c:strRef>
          </c:tx>
          <c:spPr>
            <a:ln w="28575" cap="rnd">
              <a:solidFill>
                <a:schemeClr val="accent2"/>
              </a:solidFill>
              <a:round/>
            </a:ln>
            <a:effectLst/>
          </c:spPr>
          <c:invertIfNegative val="0"/>
          <c:cat>
            <c:numRef>
              <c:f>'Coffin Butte Landfill Capacity'!$G$4:$AE$4</c:f>
              <c:numCache>
                <c:formatCode>General</c:formatCode>
                <c:ptCount val="25"/>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numCache>
            </c:numRef>
          </c:cat>
          <c:val>
            <c:numRef>
              <c:f>'Coffin Butte Landfill Capacity'!$G$37:$AE$37</c:f>
              <c:numCache>
                <c:formatCode>0</c:formatCode>
                <c:ptCount val="25"/>
                <c:pt idx="0">
                  <c:v>2066.1</c:v>
                </c:pt>
                <c:pt idx="1">
                  <c:v>2078.5</c:v>
                </c:pt>
                <c:pt idx="3">
                  <c:v>2048.5</c:v>
                </c:pt>
                <c:pt idx="4">
                  <c:v>2046.1</c:v>
                </c:pt>
                <c:pt idx="5">
                  <c:v>2046.1</c:v>
                </c:pt>
                <c:pt idx="6">
                  <c:v>2044.9</c:v>
                </c:pt>
                <c:pt idx="7">
                  <c:v>2044.9</c:v>
                </c:pt>
                <c:pt idx="8">
                  <c:v>2044.9</c:v>
                </c:pt>
                <c:pt idx="9">
                  <c:v>2044.9</c:v>
                </c:pt>
                <c:pt idx="10">
                  <c:v>2045.1</c:v>
                </c:pt>
                <c:pt idx="11">
                  <c:v>2045.2</c:v>
                </c:pt>
                <c:pt idx="12">
                  <c:v>2046.51</c:v>
                </c:pt>
                <c:pt idx="13">
                  <c:v>2050.69</c:v>
                </c:pt>
                <c:pt idx="14">
                  <c:v>2049.9899999999998</c:v>
                </c:pt>
                <c:pt idx="15">
                  <c:v>2054.537546957175</c:v>
                </c:pt>
                <c:pt idx="16">
                  <c:v>2053.9790569925635</c:v>
                </c:pt>
                <c:pt idx="17">
                  <c:v>2052.8945872946274</c:v>
                </c:pt>
                <c:pt idx="18">
                  <c:v>2050.0285993570496</c:v>
                </c:pt>
                <c:pt idx="19">
                  <c:v>2042.7461271465108</c:v>
                </c:pt>
                <c:pt idx="20">
                  <c:v>2037.5690105089714</c:v>
                </c:pt>
                <c:pt idx="21">
                  <c:v>2033.7445045481736</c:v>
                </c:pt>
                <c:pt idx="22">
                  <c:v>2034.5378355550988</c:v>
                </c:pt>
                <c:pt idx="23">
                  <c:v>2035.0613108231712</c:v>
                </c:pt>
                <c:pt idx="24">
                  <c:v>2036.54</c:v>
                </c:pt>
              </c:numCache>
            </c:numRef>
          </c:val>
          <c:extLst>
            <c:ext xmlns:c16="http://schemas.microsoft.com/office/drawing/2014/chart" uri="{C3380CC4-5D6E-409C-BE32-E72D297353CC}">
              <c16:uniqueId val="{00000001-F75A-4C8A-813B-3EE3B59A487F}"/>
            </c:ext>
          </c:extLst>
        </c:ser>
        <c:dLbls>
          <c:showLegendKey val="0"/>
          <c:showVal val="0"/>
          <c:showCatName val="0"/>
          <c:showSerName val="0"/>
          <c:showPercent val="0"/>
          <c:showBubbleSize val="0"/>
        </c:dLbls>
        <c:gapWidth val="150"/>
        <c:axId val="676963240"/>
        <c:axId val="676963896"/>
      </c:barChart>
      <c:catAx>
        <c:axId val="676963240"/>
        <c:scaling>
          <c:orientation val="minMax"/>
        </c:scaling>
        <c:delete val="0"/>
        <c:axPos val="b"/>
        <c:title>
          <c:tx>
            <c:rich>
              <a:bodyPr/>
              <a:lstStyle/>
              <a:p>
                <a:pPr>
                  <a:defRPr/>
                </a:pPr>
                <a:r>
                  <a:rPr lang="en-US"/>
                  <a:t>Reporting Year</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3896"/>
        <c:crosses val="autoZero"/>
        <c:auto val="1"/>
        <c:lblAlgn val="ctr"/>
        <c:lblOffset val="100"/>
        <c:noMultiLvlLbl val="0"/>
      </c:catAx>
      <c:valAx>
        <c:axId val="676963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US"/>
                  <a:t>Estmated Year</a:t>
                </a:r>
                <a:r>
                  <a:rPr lang="en-US" baseline="0"/>
                  <a:t> of Capacity</a:t>
                </a:r>
                <a:endParaRPr lang="en-US"/>
              </a:p>
            </c:rich>
          </c:tx>
          <c:overlay val="0"/>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3240"/>
        <c:crosses val="autoZero"/>
        <c:crossBetween val="between"/>
      </c:valAx>
    </c:plotArea>
    <c:legend>
      <c:legendPos val="b"/>
      <c:overlay val="0"/>
    </c:legend>
    <c:plotVisOnly val="1"/>
    <c:dispBlanksAs val="gap"/>
    <c:showDLblsOverMax val="0"/>
  </c:chart>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E1BFE-12A6-49F6-886F-12D8E1AAA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82</Pages>
  <Words>17984</Words>
  <Characters>102512</Characters>
  <Application>Microsoft Office Word</Application>
  <DocSecurity>0</DocSecurity>
  <Lines>854</Lines>
  <Paragraphs>240</Paragraphs>
  <ScaleCrop>false</ScaleCrop>
  <HeadingPairs>
    <vt:vector size="2" baseType="variant">
      <vt:variant>
        <vt:lpstr>Title</vt:lpstr>
      </vt:variant>
      <vt:variant>
        <vt:i4>1</vt:i4>
      </vt:variant>
    </vt:vector>
  </HeadingPairs>
  <TitlesOfParts>
    <vt:vector size="1" baseType="lpstr">
      <vt:lpstr/>
    </vt:vector>
  </TitlesOfParts>
  <Company>Benton County - Oregon</Company>
  <LinksUpToDate>false</LinksUpToDate>
  <CharactersWithSpaces>120256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REDICK Daniel</dc:creator>
  <cp:keywords/>
  <dc:description/>
  <cp:lastModifiedBy>REDICK Daniel</cp:lastModifiedBy>
  <cp:revision>6</cp:revision>
  <dcterms:created xsi:type="dcterms:W3CDTF">2023-03-13T19:35:00Z</dcterms:created>
  <dcterms:modified xsi:type="dcterms:W3CDTF">2023-03-13T23:24:00Z</dcterms:modified>
</cp:coreProperties>
</file>